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Arial"/>
          <w:b/>
          <w:sz w:val="32"/>
        </w:rPr>
        <w:t>SYMULACJA EGZAMINU ADR</w:t>
      </w:r>
    </w:p>
    <w:p>
      <w:pPr>
        <w:spacing w:after="160"/>
        <w:jc w:val="center"/>
      </w:pPr>
      <w:r>
        <w:rPr>
          <w:rFonts w:ascii="Arial" w:hAnsi="Arial" w:eastAsia="Arial"/>
          <w:b/>
          <w:sz w:val="24"/>
        </w:rPr>
        <w:t>KURS PODSTAWOWY - ZESTAW 3</w:t>
      </w:r>
    </w:p>
    <w:p>
      <w:pPr>
        <w:spacing w:after="100"/>
        <w:jc w:val="center"/>
      </w:pPr>
      <w:r>
        <w:rPr>
          <w:rFonts w:ascii="Arial" w:hAnsi="Arial" w:eastAsia="Arial"/>
          <w:b/>
          <w:color w:val="9C0006"/>
          <w:sz w:val="18"/>
        </w:rPr>
        <w:t>ZESTAW ZWERYFIKOWANY MERYTORYCZNIE - STAN PRAWNY NA 25.07.2026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2041"/>
        <w:gridCol w:w="3969"/>
        <w:gridCol w:w="1474"/>
        <w:gridCol w:w="2721"/>
      </w:tblGrid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9"/>
              </w:rPr>
              <w:t>Imię i nazwisko: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........................................................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9"/>
              </w:rPr>
              <w:t>Data: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..............................</w:t>
            </w:r>
          </w:p>
        </w:tc>
      </w:tr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9"/>
              </w:rPr>
              <w:t>Wynik: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........ / 30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/>
                <w:i w:val="0"/>
                <w:sz w:val="19"/>
              </w:rPr>
              <w:t>Ocena: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sz w:val="19"/>
              </w:rPr>
              <w:t>ZALICZONO / NIE ZALICZONO</w:t>
            </w:r>
          </w:p>
        </w:tc>
      </w:tr>
    </w:tbl>
    <w:p>
      <w:pPr>
        <w:spacing w:before="160" w:after="60"/>
      </w:pPr>
      <w:r>
        <w:rPr>
          <w:rFonts w:ascii="Arial" w:hAnsi="Arial" w:eastAsia="Arial"/>
          <w:b/>
          <w:i w:val="0"/>
          <w:sz w:val="22"/>
        </w:rPr>
        <w:t>INSTRUKCJA</w:t>
      </w:r>
    </w:p>
    <w:p>
      <w:pPr>
        <w:spacing w:after="30"/>
        <w:ind w:left="283" w:hanging="170"/>
      </w:pPr>
      <w:r>
        <w:rPr>
          <w:rFonts w:ascii="Arial" w:hAnsi="Arial" w:eastAsia="Arial"/>
          <w:sz w:val="18"/>
        </w:rPr>
        <w:t>• Test składa się z 30 pytań. Przy każdym pytaniu podano trzy odpowiedzi: a, b, c. Tylko jedna odpowiedź jest prawidłowa.</w:t>
      </w:r>
    </w:p>
    <w:p>
      <w:pPr>
        <w:spacing w:after="30"/>
        <w:ind w:left="283" w:hanging="170"/>
      </w:pPr>
      <w:r>
        <w:rPr>
          <w:rFonts w:ascii="Arial" w:hAnsi="Arial" w:eastAsia="Arial"/>
          <w:sz w:val="18"/>
        </w:rPr>
        <w:t>• Czas przeznaczony na rozwiązanie testu: 60 minut.</w:t>
      </w:r>
    </w:p>
    <w:p>
      <w:pPr>
        <w:spacing w:after="30"/>
        <w:ind w:left="283" w:hanging="170"/>
      </w:pPr>
      <w:r>
        <w:rPr>
          <w:rFonts w:ascii="Arial" w:hAnsi="Arial" w:eastAsia="Arial"/>
          <w:sz w:val="18"/>
        </w:rPr>
        <w:t>• Próg zaliczenia symulacji: co najmniej 20 prawidłowych odpowiedzi, czyli 2/3 pytań.</w:t>
      </w:r>
    </w:p>
    <w:p>
      <w:pPr>
        <w:spacing w:after="30"/>
        <w:ind w:left="283" w:hanging="170"/>
      </w:pPr>
      <w:r>
        <w:rPr>
          <w:rFonts w:ascii="Arial" w:hAnsi="Arial" w:eastAsia="Arial"/>
          <w:sz w:val="18"/>
        </w:rPr>
        <w:t>• Odpowiedzi należy zaznaczyć na karcie odpowiedzi. Pytania są autorskim materiałem szkoleniowym i nie pochodzą z oficjalnego katalogu pytań egzaminacyjnych.</w:t>
      </w:r>
    </w:p>
    <w:p>
      <w:pPr>
        <w:spacing w:after="30"/>
        <w:ind w:left="283" w:hanging="170"/>
      </w:pPr>
      <w:r>
        <w:rPr>
          <w:rFonts w:ascii="Arial" w:hAnsi="Arial" w:eastAsia="Arial"/>
          <w:sz w:val="18"/>
        </w:rPr>
        <w:t>• Podstawa weryfikacji: ADR 2025 ogłoszony w Dz.U. z 2025 r. poz. 642, sprostowanie ogłoszone w Dz.U. z 2025 r. poz. 1575, program kursu ADR oraz obowiązujące zasady egzaminu.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1. Umowa ADR składa się z: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załącznika A dotyczącego klasyfikacji towarów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Umowy właściwej oraz załączników A i B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wyłącznie krajowej ustawy o przewozie towarów niebezpiecznych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2. Towary niebezpieczne w rozumieniu Umowy ADR to: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wszystkie materiały chemiczne przewożone pojazdem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wyłącznie materiały wybuchowe i promieniotwórcze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materiały i przedmioty, których międzynarodowy przewóz drogowy jest zabroniony albo dozwolony pod warunkami określonymi w załącznikach A i B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3. Jednostka transportowa oznacza: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pojazd samochodowy bez przyczepy albo zespół składający się z pojazdu samochodowego i dołączonej przyczepy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każdą pojedynczą sztukę przesyłki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wyłącznie pojazd-cysternę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4. Pracownik, który nie ukończył jeszcze szkolenia wymaganego dla powierzonych mu czynności związanych z przewozem towarów niebezpiecznych: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może wykonywać te czynności samodzielnie po otrzymaniu ustnej instrukcji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może wykonywać je wyłącznie pod bezpośrednim nadzorem osoby przeszkolonej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nie może przebywać na terenie przedsiębiorstwa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5. Szkolenie osób zaangażowanych w przewóz towarów niebezpiecznych, o którym mowa w dziale 1.3 ADR, obejmuje odpowiednio: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szkolenie z pierwszej pomocy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wyłącznie omówienie zmian w przepisach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szkolenie ogólne, stanowiskowe oraz z zakresu bezpieczeństwa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6. Szkolenie osób zaangażowanych w przewóz towarów niebezpiecznych powinno być: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okresowo uzupełniane szkoleniem doskonalącym uwzględniającym zmiany w przepisach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przeprowadzone tylko jeden raz, bez względu na zmiany przepisów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powtarzane co miesiąc niezależnie od zakresu obowiązków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7. Jeżeli przewóz towarów niebezpiecznych jest związany z przewozem kombinowanym, szkolenie stanowiskowe powinno obejmować również: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przepisy dotyczące czasu pracy kierowcy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wymagania dotyczące innych rodzajów transportu uczestniczących w przewozie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zasady rejestracji pojazdu w państwie przeznaczenia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8. Szkolenie w zakresie ochrony towarów niebezpiecznych powinno obejmować między innymi: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zasady ubezpieczenia przewożonego ładunku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wyłącznie regulamin ochrony obowiązujący w przedsiębiorstwie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rozpoznawanie zagrożeń, metody ich wykrywania i usuwania oraz działania podejmowane w przypadku naruszenia bezpieczeństwa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9. Jeżeli podczas wypadku lub awarii nastąpi uwolnienie towaru niebezpiecznego, członkowie załogi – jeżeli jest to właściwe i bezpieczne – powinni: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zapobiec przedostaniu się materiału do środowiska wodnego lub kanalizacji oraz zebrać go przy użyciu wyposażenia przewożonego w jednostce transportowej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spłukać materiał wodą bezpośrednio do kanalizacji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opuścić miejsce zdarzenia bez powiadomienia służb ratowniczych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10. Dokument z fotografią potwierdzający tożsamość powinien posiadać przy sobie: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kierowca prowadzący pojazd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każdy członek załogi pojazdu przewożącego towary niebezpieczne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wyłącznie nadawca towaru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11. Grupa pakowania II oznacza materiały stwarzające: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duże zagrożenie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małe zagrożenie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średnie zagrożenie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12. Do klasy 3 zalicza się co do zasady materiały ciekłe, których temperatura zapłonu jest: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nie wyższa niż 60°C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wyższa niż 100°C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dowolna, ponieważ temperatura zapłonu nie ma znaczenia dla klasyfikacji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13. Materiały klasy 5.1: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zawsze są materiałami wybuchowymi i palnymi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nie zawsze są palne, lecz wskutek wydzielania tlenu mogą powodować zapalenie lub podtrzymywać palenie innego materiału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są wyłącznie ciekłymi materiałami żrącymi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14. Przewóz o charakterze ratunkowym, którego celem jest ratowanie życia ludzkiego lub ochrona środowiska, może korzystać z wyłączenia spod ADR, jeżeli: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jest wykonywany wyłącznie nocą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masa ładunku nie przekracza 1000 kg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przedsięwzięto wszystkie środki niezbędne do zapewnienia pełnego bezpieczeństwa przewozu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15. Nadawca towaru niebezpiecznego powinien używać: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wyłącznie opakowań, DPPL i cystern dopuszczonych i odpowiednich dla danego towaru oraz posiadających wymagane znaki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dowolnego nieuszkodzonego opakowania dostępnego w przedsiębiorstwie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wyłącznie opakowań stosowanych w sprzedaży detalicznej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16. Jeżeli przed rozpoczęciem przewozu przewoźnik stwierdzi naruszenie wymagań ADR, to: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może rozpocząć przewóz po wpisaniu uwagi do dokumentu przewozowego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nie powinien rozpoczynać przewozu do czasu usunięcia stwierdzonych naruszeń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decyzję o rozpoczęciu przewozu pozostawia wyłącznie kierowcy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17. Jeżeli podczas przewozu zostanie stwierdzone naruszenie wymagań ADR zagrażające bezpieczeństwu przewozu, należy: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kontynuować jazdę do najbliższej bazy przedsiębiorstwa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powiadomić wyłącznie odbiorcę i kontynuować przewóz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niezwłocznie przerwać przewóz, z uwzględnieniem bezpieczeństwa ruchu, bezpiecznego unieruchomienia przesyłki i bezpieczeństwa publicznego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18. Rozładowca powinien upewnić się, że rozładowywane są właściwe towary, poprzez: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porównanie informacji z dokumentu przewozowego z informacjami umieszczonymi na sztuce przesyłki, kontenerze, cysternie, MEGC, MEMU lub pojeździe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sprawdzenie wyłącznie prawa jazdy kierowcy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zważenie całej jednostki transportowej bez sprawdzania oznakowania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19. Minimalna wysokość liter „UN” i numeru UN na sztuce przesyłki wynosi co do zasady: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6 mm w każdym przypadku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12 mm, z wyjątkami przewidzianymi dla mniejszych sztuk przesyłki i naczyń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25 mm w każdym przypadku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20. Opakowanie awaryjne, w tym opakowanie duże awaryjne, powinno być dodatkowo oznakowane napisem: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„USZKODZONE”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„PILNE”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„AWARYJNE”, literami o wysokości co najmniej 12 mm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21. Łopata, osłona otworów kanalizacyjnych i pojemnik do zbierania pozostałości są wymagane: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dla materiałów stałych i ciekłych oznakowanych nalepkami 3, 4.1, 4.3, 8 lub 9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wyłącznie przy przewozie gazów oznakowanych nalepkami 2.1 i 2.2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przy każdym przewozie ADR bez względu na rodzaj towaru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22. Duże nalepki ostrzegawcze, które nie dotyczą przewożonych towarów niebezpiecznych ani ich pozostałości: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mogą pozostać na pojeździe, jeżeli są częściowo wyblakłe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powinny być zdjęte albo zakryte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należy obrócić nadrukiem do wnętrza pojazdu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23. Standardowa tablica barwy pomarańczowej powinna mieć: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30 cm szerokości, 20 cm wysokości i obrzeże 5 mm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50 cm szerokości, 50 cm wysokości i obrzeże 20 mm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40 cm szerokości, 30 cm wysokości i czarne obrzeże o szerokości 15 mm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24. W przypadku próżnych nieoczyszczonych opakowań po towarach klas innych niż 7 dopuszczalny wpis w dokumencie przewozowym to:</w:t>
      </w:r>
      <w:r>
        <w:br/>
      </w:r>
      <w:r>
        <w:rPr>
          <w:rFonts w:ascii="Arial" w:hAnsi="Arial" w:eastAsia="Arial"/>
          <w:b w:val="0"/>
          <w:sz w:val="19"/>
        </w:rPr>
        <w:t xml:space="preserve">   a) „PRÓŻNE OPAKOWANIE” z informacją o ostatnio przewożonym towarze, np. klasą i zagrożeniem dodatkowym</w:t>
      </w:r>
      <w:r>
        <w:br/>
      </w:r>
      <w:r>
        <w:rPr>
          <w:rFonts w:ascii="Arial" w:hAnsi="Arial" w:eastAsia="Arial"/>
          <w:b w:val="0"/>
          <w:sz w:val="19"/>
        </w:rPr>
        <w:t xml:space="preserve">   b) „BRAK TOWARU NIEBEZPIECZNEGO” bez dalszych informacji</w:t>
      </w:r>
      <w:r>
        <w:br/>
      </w:r>
      <w:r>
        <w:rPr>
          <w:rFonts w:ascii="Arial" w:hAnsi="Arial" w:eastAsia="Arial"/>
          <w:b w:val="0"/>
          <w:sz w:val="19"/>
        </w:rPr>
        <w:t xml:space="preserve">   c) brak jakiegokolwiek wpisu dotyczącego opakowań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25. Nadawca i przewoźnik powinni przechowywać kopię dokumentu przewozowego oraz wymaganych dodatkowych informacji i dokumentów przez okres co najmniej: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1 miesiąca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3 miesięcy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5 lat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26. Jeżeli przed załadunkiem dokumenty lub oględziny wykażą niespełnienie obowiązujących wymagań, to:</w:t>
      </w:r>
      <w:r>
        <w:br/>
      </w:r>
      <w:r>
        <w:rPr>
          <w:rFonts w:ascii="Arial" w:hAnsi="Arial" w:eastAsia="Arial"/>
          <w:b w:val="0"/>
          <w:sz w:val="19"/>
        </w:rPr>
        <w:t xml:space="preserve">   a) załadunek można rozpocząć, jeżeli kierowca wyrazi zgodę</w:t>
      </w:r>
      <w:r>
        <w:br/>
      </w:r>
      <w:r>
        <w:rPr>
          <w:rFonts w:ascii="Arial" w:hAnsi="Arial" w:eastAsia="Arial"/>
          <w:b w:val="0"/>
          <w:sz w:val="19"/>
        </w:rPr>
        <w:t xml:space="preserve">   b) można załadować połowę przewidzianego ładunku</w:t>
      </w:r>
      <w:r>
        <w:br/>
      </w:r>
      <w:r>
        <w:rPr>
          <w:rFonts w:ascii="Arial" w:hAnsi="Arial" w:eastAsia="Arial"/>
          <w:b w:val="0"/>
          <w:sz w:val="19"/>
        </w:rPr>
        <w:t xml:space="preserve">   c) załadunek wstrzymuje się do czasu usunięcia niezgodności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27. Sztuki przesyłki oznakowane różnymi nalepkami ostrzegawczymi można załadować razem:</w:t>
      </w:r>
      <w:r>
        <w:br/>
      </w:r>
      <w:r>
        <w:rPr>
          <w:rFonts w:ascii="Arial" w:hAnsi="Arial" w:eastAsia="Arial"/>
          <w:b w:val="0"/>
          <w:sz w:val="19"/>
        </w:rPr>
        <w:t xml:space="preserve">   a) jeżeli zezwala na to tabela zakazów ładowania razem w 7.5.2.1 ADR</w:t>
      </w:r>
      <w:r>
        <w:br/>
      </w:r>
      <w:r>
        <w:rPr>
          <w:rFonts w:ascii="Arial" w:hAnsi="Arial" w:eastAsia="Arial"/>
          <w:b w:val="0"/>
          <w:sz w:val="19"/>
        </w:rPr>
        <w:t xml:space="preserve">   b) zawsze, jeżeli owinięto je folią</w:t>
      </w:r>
      <w:r>
        <w:br/>
      </w:r>
      <w:r>
        <w:rPr>
          <w:rFonts w:ascii="Arial" w:hAnsi="Arial" w:eastAsia="Arial"/>
          <w:b w:val="0"/>
          <w:sz w:val="19"/>
        </w:rPr>
        <w:t xml:space="preserve">   c) nigdy, bez względu na rodzaj nalepek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28. Jedną z metod oddzielenia określonych towarów niebezpiecznych od żywności lub karmy jest wolna przestrzeń o szerokości co najmniej:</w:t>
      </w:r>
      <w:r>
        <w:br/>
      </w:r>
      <w:r>
        <w:rPr>
          <w:rFonts w:ascii="Arial" w:hAnsi="Arial" w:eastAsia="Arial"/>
          <w:b w:val="0"/>
          <w:sz w:val="19"/>
        </w:rPr>
        <w:t xml:space="preserve">   a) 0,2 m</w:t>
      </w:r>
      <w:r>
        <w:br/>
      </w:r>
      <w:r>
        <w:rPr>
          <w:rFonts w:ascii="Arial" w:hAnsi="Arial" w:eastAsia="Arial"/>
          <w:b w:val="0"/>
          <w:sz w:val="19"/>
        </w:rPr>
        <w:t xml:space="preserve">   b) 0,8 m</w:t>
      </w:r>
      <w:r>
        <w:br/>
      </w:r>
      <w:r>
        <w:rPr>
          <w:rFonts w:ascii="Arial" w:hAnsi="Arial" w:eastAsia="Arial"/>
          <w:b w:val="0"/>
          <w:sz w:val="19"/>
        </w:rPr>
        <w:t xml:space="preserve">   c) 2 m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29. Zakaz palenia podczas manipulowania ładunkiem: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obowiązuje wyłącznie wewnątrz kabiny kierowcy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nie dotyczy papierosów elektronicznych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obejmuje również używanie papierosów elektronicznych i podobnych urządzeń</w:t>
      </w:r>
    </w:p>
    <w:p>
      <w:pPr>
        <w:keepLines/>
        <w:spacing w:before="100" w:after="60" w:line="252" w:lineRule="auto"/>
      </w:pPr>
      <w:r>
        <w:rPr>
          <w:rFonts w:ascii="Arial" w:hAnsi="Arial" w:eastAsia="Arial"/>
          <w:b/>
          <w:sz w:val="19"/>
        </w:rPr>
        <w:t>30. Jeżeli w jednostce transportowej znajdują się towary niebezpieczne o różnych kodach ograniczeń przewozu przez tunele, dla całego ładunku stosuje się: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a) kod odpowiadający największym ograniczeniom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b) kod odpowiadający najmniejszym ograniczeniom</w:t>
      </w:r>
      <w:r>
        <w:rPr>
          <w:sz w:val="19"/>
        </w:rPr>
        <w:br/>
      </w:r>
      <w:r>
        <w:rPr>
          <w:rFonts w:ascii="Arial" w:hAnsi="Arial" w:eastAsia="Arial"/>
          <w:b w:val="0"/>
          <w:sz w:val="19"/>
        </w:rPr>
        <w:t xml:space="preserve">   c) kod wybrany przez kierowcę przed wjazdem do tunelu</w:t>
      </w:r>
    </w:p>
    <w:p>
      <w:pPr>
        <w:spacing w:before="200" w:after="60"/>
        <w:pageBreakBefore/>
      </w:pPr>
      <w:r>
        <w:rPr>
          <w:rFonts w:ascii="Arial" w:hAnsi="Arial" w:eastAsia="Arial"/>
          <w:b/>
          <w:i w:val="0"/>
          <w:sz w:val="24"/>
        </w:rPr>
        <w:t>KARTA ODPOWIEDZI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624"/>
        <w:gridCol w:w="1191"/>
        <w:gridCol w:w="624"/>
        <w:gridCol w:w="624"/>
        <w:gridCol w:w="1191"/>
        <w:gridCol w:w="624"/>
        <w:gridCol w:w="624"/>
        <w:gridCol w:w="1191"/>
        <w:gridCol w:w="624"/>
      </w:tblGrid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Nr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Odpowiedź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Punkty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Nr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Odpowiedź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Punkty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Nr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Odpowiedź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Punkty</w:t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21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22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23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24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25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26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27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28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29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  <w:tr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10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20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30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  <w:t>A / B / C</w:t>
            </w:r>
          </w:p>
        </w:tc>
        <w:tc>
          <w:tcPr>
            <w:tcW w:type="dxa" w:w="115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sz w:val="17"/>
              </w:rPr>
            </w:r>
          </w:p>
        </w:tc>
      </w:tr>
    </w:tbl>
    <w:p>
      <w:pPr>
        <w:spacing w:before="160"/>
        <w:jc w:val="center"/>
      </w:pPr>
      <w:r>
        <w:rPr>
          <w:rFonts w:ascii="Arial" w:hAnsi="Arial" w:eastAsia="Arial"/>
          <w:b/>
          <w:i w:val="0"/>
          <w:sz w:val="22"/>
        </w:rPr>
        <w:t>Wynik: .......... / 30        ZALICZONO / NIE ZALICZONO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6"/>
      </w:rPr>
      <w:t>Symulacja egzaminu ADR - kurs podstawowy - zestaw 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95959"/>
        <w:sz w:val="16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