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Arial" w:hAnsi="Arial"/>
          <w:b/>
          <w:sz w:val="34"/>
        </w:rPr>
        <w:t>SYMULACJA EGZAMINU ADR</w:t>
      </w:r>
    </w:p>
    <w:p>
      <w:pPr>
        <w:spacing w:after="140"/>
        <w:jc w:val="center"/>
      </w:pPr>
      <w:r>
        <w:rPr>
          <w:rFonts w:ascii="Arial" w:hAnsi="Arial"/>
          <w:b/>
          <w:sz w:val="24"/>
        </w:rPr>
        <w:t>KURS PODSTAWOWY – ZESTAW 1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</w:tblPr>
      <w:tblGrid>
        <w:gridCol w:w="1871"/>
        <w:gridCol w:w="3402"/>
        <w:gridCol w:w="1361"/>
        <w:gridCol w:w="2835"/>
      </w:tblGrid>
      <w:tr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  <w:shd w:fill="E7E6E6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Imię i nazwisko: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........................................................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  <w:shd w:fill="E7E6E6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Data: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..............................</w:t>
            </w:r>
          </w:p>
        </w:tc>
      </w:tr>
      <w:tr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  <w:shd w:fill="E7E6E6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Wynik: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........ / 30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  <w:shd w:fill="E7E6E6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Ocena: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ZALICZONO / NIE ZALICZONO</w:t>
            </w:r>
          </w:p>
        </w:tc>
      </w:tr>
    </w:tbl>
    <w:p>
      <w:pPr>
        <w:spacing w:before="140" w:after="60"/>
      </w:pPr>
      <w:r>
        <w:rPr>
          <w:rFonts w:ascii="Arial" w:hAnsi="Arial"/>
          <w:b/>
          <w:sz w:val="22"/>
        </w:rPr>
        <w:t>INSTRUKCJA</w:t>
      </w:r>
    </w:p>
    <w:p>
      <w:pPr>
        <w:spacing w:after="40"/>
        <w:ind w:left="312" w:hanging="198"/>
      </w:pPr>
      <w:r>
        <w:rPr>
          <w:rFonts w:ascii="Arial" w:hAnsi="Arial"/>
          <w:sz w:val="19"/>
        </w:rPr>
        <w:t>• Test składa się z 30 pytań. Przy każdym pytaniu podano trzy odpowiedzi: a, b, c. Tylko jedna odpowiedź jest prawidłowa.</w:t>
      </w:r>
    </w:p>
    <w:p>
      <w:pPr>
        <w:spacing w:after="40"/>
        <w:ind w:left="312" w:hanging="198"/>
      </w:pPr>
      <w:r>
        <w:rPr>
          <w:rFonts w:ascii="Arial" w:hAnsi="Arial"/>
          <w:sz w:val="19"/>
        </w:rPr>
        <w:t>• Czas przeznaczony na rozwiązanie testu: 60 minut.</w:t>
      </w:r>
    </w:p>
    <w:p>
      <w:pPr>
        <w:spacing w:after="40"/>
        <w:ind w:left="312" w:hanging="198"/>
      </w:pPr>
      <w:r>
        <w:rPr>
          <w:rFonts w:ascii="Arial" w:hAnsi="Arial"/>
          <w:sz w:val="19"/>
        </w:rPr>
        <w:t>• Próg zaliczenia symulacji: co najmniej 20 prawidłowych odpowiedzi (2/3 pytań).</w:t>
      </w:r>
    </w:p>
    <w:p>
      <w:pPr>
        <w:spacing w:after="40"/>
        <w:ind w:left="312" w:hanging="198"/>
      </w:pPr>
      <w:r>
        <w:rPr>
          <w:rFonts w:ascii="Arial" w:hAnsi="Arial"/>
          <w:sz w:val="19"/>
        </w:rPr>
        <w:t>• Odpowiedzi należy zaznaczyć na karcie odpowiedzi. Pytania są autorskimi pytaniami szkoleniowymi i nie stanowią oficjalnego katalogu pytań egzaminacyjnych.</w:t>
      </w:r>
    </w:p>
    <w:p>
      <w:pPr>
        <w:spacing w:after="40"/>
        <w:ind w:left="312" w:hanging="198"/>
      </w:pPr>
      <w:r>
        <w:rPr>
          <w:rFonts w:ascii="Arial" w:hAnsi="Arial"/>
          <w:sz w:val="19"/>
        </w:rPr>
        <w:t>• Stan prawny opracowania: ADR 2025 oraz krajowe przepisy egzaminacyjne obowiązujące w dniu 24 lipca 2026 r.</w:t>
      </w:r>
    </w:p>
    <w:p>
      <w:r>
        <w:br w:type="page"/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9E9E9E"/>
          <w:left w:val="single" w:sz="5" w:space="0" w:color="9E9E9E"/>
          <w:bottom w:val="single" w:sz="5" w:space="0" w:color="9E9E9E"/>
          <w:right w:val="single" w:sz="5" w:space="0" w:color="9E9E9E"/>
          <w:insideH w:val="single" w:sz="5" w:space="0" w:color="9E9E9E"/>
          <w:insideV w:val="single" w:sz="5" w:space="0" w:color="9E9E9E"/>
        </w:tblBorders>
      </w:tblPr>
      <w:tblGrid>
        <w:gridCol w:w="10370"/>
      </w:tblGrid>
      <w:tr>
        <w:trPr>
          <w:cantSplit/>
        </w:trPr>
        <w:tc>
          <w:tcPr>
            <w:tcW w:type="dxa" w:w="10370"/>
            <w:shd w:fill="E7E6E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sz w:val="21"/>
              </w:rPr>
              <w:t>1. Do której klasy ADR zalicza się materiały ciekłe zapalne?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a) Do klasy 2 – gazy.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b) Do klasy 3 – materiały ciekłe zapalne.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c) Do klasy 8 – materiały żrące.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9E9E9E"/>
          <w:left w:val="single" w:sz="5" w:space="0" w:color="9E9E9E"/>
          <w:bottom w:val="single" w:sz="5" w:space="0" w:color="9E9E9E"/>
          <w:right w:val="single" w:sz="5" w:space="0" w:color="9E9E9E"/>
          <w:insideH w:val="single" w:sz="5" w:space="0" w:color="9E9E9E"/>
          <w:insideV w:val="single" w:sz="5" w:space="0" w:color="9E9E9E"/>
        </w:tblBorders>
      </w:tblPr>
      <w:tblGrid>
        <w:gridCol w:w="10370"/>
      </w:tblGrid>
      <w:tr>
        <w:trPr>
          <w:cantSplit/>
        </w:trPr>
        <w:tc>
          <w:tcPr>
            <w:tcW w:type="dxa" w:w="10370"/>
            <w:shd w:fill="E7E6E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sz w:val="21"/>
              </w:rPr>
              <w:t>2. Nalepka ostrzegawcza klasy 8 wskazuje na zagrożenie: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a) utleniające,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b) trujące,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c) żrące.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9E9E9E"/>
          <w:left w:val="single" w:sz="5" w:space="0" w:color="9E9E9E"/>
          <w:bottom w:val="single" w:sz="5" w:space="0" w:color="9E9E9E"/>
          <w:right w:val="single" w:sz="5" w:space="0" w:color="9E9E9E"/>
          <w:insideH w:val="single" w:sz="5" w:space="0" w:color="9E9E9E"/>
          <w:insideV w:val="single" w:sz="5" w:space="0" w:color="9E9E9E"/>
        </w:tblBorders>
      </w:tblPr>
      <w:tblGrid>
        <w:gridCol w:w="10370"/>
      </w:tblGrid>
      <w:tr>
        <w:trPr>
          <w:cantSplit/>
        </w:trPr>
        <w:tc>
          <w:tcPr>
            <w:tcW w:type="dxa" w:w="10370"/>
            <w:shd w:fill="E7E6E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sz w:val="21"/>
              </w:rPr>
              <w:t>3. Materiały utleniające zalicza się do klasy: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a) 5.1,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b) 5.2,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c) 6.2.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9E9E9E"/>
          <w:left w:val="single" w:sz="5" w:space="0" w:color="9E9E9E"/>
          <w:bottom w:val="single" w:sz="5" w:space="0" w:color="9E9E9E"/>
          <w:right w:val="single" w:sz="5" w:space="0" w:color="9E9E9E"/>
          <w:insideH w:val="single" w:sz="5" w:space="0" w:color="9E9E9E"/>
          <w:insideV w:val="single" w:sz="5" w:space="0" w:color="9E9E9E"/>
        </w:tblBorders>
      </w:tblPr>
      <w:tblGrid>
        <w:gridCol w:w="10370"/>
      </w:tblGrid>
      <w:tr>
        <w:trPr>
          <w:cantSplit/>
        </w:trPr>
        <w:tc>
          <w:tcPr>
            <w:tcW w:type="dxa" w:w="10370"/>
            <w:shd w:fill="E7E6E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sz w:val="21"/>
              </w:rPr>
              <w:t>4. Klasa 6.1 obejmuje: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a) materiały zakaźne,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b) materiały trujące,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c) różne materiały i przedmioty niebezpieczne.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9E9E9E"/>
          <w:left w:val="single" w:sz="5" w:space="0" w:color="9E9E9E"/>
          <w:bottom w:val="single" w:sz="5" w:space="0" w:color="9E9E9E"/>
          <w:right w:val="single" w:sz="5" w:space="0" w:color="9E9E9E"/>
          <w:insideH w:val="single" w:sz="5" w:space="0" w:color="9E9E9E"/>
          <w:insideV w:val="single" w:sz="5" w:space="0" w:color="9E9E9E"/>
        </w:tblBorders>
      </w:tblPr>
      <w:tblGrid>
        <w:gridCol w:w="10370"/>
      </w:tblGrid>
      <w:tr>
        <w:trPr>
          <w:cantSplit/>
        </w:trPr>
        <w:tc>
          <w:tcPr>
            <w:tcW w:type="dxa" w:w="10370"/>
            <w:shd w:fill="E7E6E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sz w:val="21"/>
              </w:rPr>
              <w:t>5. Klasa 4.3 obejmuje materiały, które: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a) są podatne na samozapalenie,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b) są materiałami stałymi zapalnymi,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c) w zetknięciu z wodą wydzielają gazy palne.</w:t>
            </w:r>
          </w:p>
        </w:tc>
      </w:tr>
    </w:tbl>
    <w:p>
      <w:pPr>
        <w:spacing w:after="40"/>
      </w:pPr>
    </w:p>
    <w:p>
      <w:r>
        <w:br w:type="page"/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9E9E9E"/>
          <w:left w:val="single" w:sz="5" w:space="0" w:color="9E9E9E"/>
          <w:bottom w:val="single" w:sz="5" w:space="0" w:color="9E9E9E"/>
          <w:right w:val="single" w:sz="5" w:space="0" w:color="9E9E9E"/>
          <w:insideH w:val="single" w:sz="5" w:space="0" w:color="9E9E9E"/>
          <w:insideV w:val="single" w:sz="5" w:space="0" w:color="9E9E9E"/>
        </w:tblBorders>
      </w:tblPr>
      <w:tblGrid>
        <w:gridCol w:w="10370"/>
      </w:tblGrid>
      <w:tr>
        <w:trPr>
          <w:cantSplit/>
        </w:trPr>
        <w:tc>
          <w:tcPr>
            <w:tcW w:type="dxa" w:w="10370"/>
            <w:shd w:fill="E7E6E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sz w:val="21"/>
              </w:rPr>
              <w:t>6. Grupa pakowania I oznacza materiały stwarzające: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a) duże zagrożenie,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b) średnie zagrożenie,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c) małe zagrożenie.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9E9E9E"/>
          <w:left w:val="single" w:sz="5" w:space="0" w:color="9E9E9E"/>
          <w:bottom w:val="single" w:sz="5" w:space="0" w:color="9E9E9E"/>
          <w:right w:val="single" w:sz="5" w:space="0" w:color="9E9E9E"/>
          <w:insideH w:val="single" w:sz="5" w:space="0" w:color="9E9E9E"/>
          <w:insideV w:val="single" w:sz="5" w:space="0" w:color="9E9E9E"/>
        </w:tblBorders>
      </w:tblPr>
      <w:tblGrid>
        <w:gridCol w:w="10370"/>
      </w:tblGrid>
      <w:tr>
        <w:trPr>
          <w:cantSplit/>
        </w:trPr>
        <w:tc>
          <w:tcPr>
            <w:tcW w:type="dxa" w:w="10370"/>
            <w:shd w:fill="E7E6E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sz w:val="21"/>
              </w:rPr>
              <w:t>7. Litera „X” umieszczona przed numerem rozpoznawczym zagrożenia na tablicy barwy pomarańczowej oznacza, że materiał: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a) może być przewożony wyłącznie drogą morską,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b) wymaga eskorty przez całą trasę,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c) reaguje niebezpiecznie z wodą, a woda może być użyta tylko za zgodą specjalistów.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9E9E9E"/>
          <w:left w:val="single" w:sz="5" w:space="0" w:color="9E9E9E"/>
          <w:bottom w:val="single" w:sz="5" w:space="0" w:color="9E9E9E"/>
          <w:right w:val="single" w:sz="5" w:space="0" w:color="9E9E9E"/>
          <w:insideH w:val="single" w:sz="5" w:space="0" w:color="9E9E9E"/>
          <w:insideV w:val="single" w:sz="5" w:space="0" w:color="9E9E9E"/>
        </w:tblBorders>
      </w:tblPr>
      <w:tblGrid>
        <w:gridCol w:w="10370"/>
      </w:tblGrid>
      <w:tr>
        <w:trPr>
          <w:cantSplit/>
        </w:trPr>
        <w:tc>
          <w:tcPr>
            <w:tcW w:type="dxa" w:w="10370"/>
            <w:shd w:fill="E7E6E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sz w:val="21"/>
              </w:rPr>
              <w:t>8. Na tablicy barwy pomarańczowej z numerami: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a) numer UN znajduje się u góry, a numer rozpoznawczy zagrożenia u dołu,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b) numer rozpoznawczy zagrożenia znajduje się u góry, a numer UN u dołu,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c) oba numery umieszcza się obok siebie w jednym wierszu.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9E9E9E"/>
          <w:left w:val="single" w:sz="5" w:space="0" w:color="9E9E9E"/>
          <w:bottom w:val="single" w:sz="5" w:space="0" w:color="9E9E9E"/>
          <w:right w:val="single" w:sz="5" w:space="0" w:color="9E9E9E"/>
          <w:insideH w:val="single" w:sz="5" w:space="0" w:color="9E9E9E"/>
          <w:insideV w:val="single" w:sz="5" w:space="0" w:color="9E9E9E"/>
        </w:tblBorders>
      </w:tblPr>
      <w:tblGrid>
        <w:gridCol w:w="10370"/>
      </w:tblGrid>
      <w:tr>
        <w:trPr>
          <w:cantSplit/>
        </w:trPr>
        <w:tc>
          <w:tcPr>
            <w:tcW w:type="dxa" w:w="10370"/>
            <w:shd w:fill="E7E6E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sz w:val="21"/>
              </w:rPr>
              <w:t>9. Powtórzenie tej samej cyfry w numerze rozpoznawczym zagrożenia oznacza: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a) nasilenie wskazanego zagrożenia,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b) brak dodatkowego zagrożenia,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c) zastosowanie wyłączenia z przepisów ADR.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9E9E9E"/>
          <w:left w:val="single" w:sz="5" w:space="0" w:color="9E9E9E"/>
          <w:bottom w:val="single" w:sz="5" w:space="0" w:color="9E9E9E"/>
          <w:right w:val="single" w:sz="5" w:space="0" w:color="9E9E9E"/>
          <w:insideH w:val="single" w:sz="5" w:space="0" w:color="9E9E9E"/>
          <w:insideV w:val="single" w:sz="5" w:space="0" w:color="9E9E9E"/>
        </w:tblBorders>
      </w:tblPr>
      <w:tblGrid>
        <w:gridCol w:w="10370"/>
      </w:tblGrid>
      <w:tr>
        <w:trPr>
          <w:cantSplit/>
        </w:trPr>
        <w:tc>
          <w:tcPr>
            <w:tcW w:type="dxa" w:w="10370"/>
            <w:shd w:fill="E7E6E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sz w:val="21"/>
              </w:rPr>
              <w:t>10. Który zestaw dokumentów powinien znajdować się w kabinie pojazdu, gdy wymagają tego przepisy ADR?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a) Wyłącznie faktura za towar i dowód rejestracyjny pojazdu.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b) Wyłącznie zaświadczenie ADR kierowcy i polisa ubezpieczeniowa.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c) Dokument przewozowy, instrukcje pisemne, dokumenty ze zdjęciem członków załogi oraz pozostałe dokumenty wymagane dla danego przewozu.</w:t>
            </w:r>
          </w:p>
        </w:tc>
      </w:tr>
    </w:tbl>
    <w:p>
      <w:pPr>
        <w:spacing w:after="40"/>
      </w:pPr>
    </w:p>
    <w:p>
      <w:r>
        <w:br w:type="page"/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9E9E9E"/>
          <w:left w:val="single" w:sz="5" w:space="0" w:color="9E9E9E"/>
          <w:bottom w:val="single" w:sz="5" w:space="0" w:color="9E9E9E"/>
          <w:right w:val="single" w:sz="5" w:space="0" w:color="9E9E9E"/>
          <w:insideH w:val="single" w:sz="5" w:space="0" w:color="9E9E9E"/>
          <w:insideV w:val="single" w:sz="5" w:space="0" w:color="9E9E9E"/>
        </w:tblBorders>
      </w:tblPr>
      <w:tblGrid>
        <w:gridCol w:w="10370"/>
      </w:tblGrid>
      <w:tr>
        <w:trPr>
          <w:cantSplit/>
        </w:trPr>
        <w:tc>
          <w:tcPr>
            <w:tcW w:type="dxa" w:w="10370"/>
            <w:shd w:fill="E7E6E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sz w:val="21"/>
              </w:rPr>
              <w:t>11. Instrukcje pisemne powinny być dostępne w języku lub językach: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a) wyłącznie polskim, niezależnie od składu załogi,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b) które każdy członek załogi potrafi przeczytać i zrozumieć,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c) wyłącznie angielskim, niemieckim lub francuskim.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9E9E9E"/>
          <w:left w:val="single" w:sz="5" w:space="0" w:color="9E9E9E"/>
          <w:bottom w:val="single" w:sz="5" w:space="0" w:color="9E9E9E"/>
          <w:right w:val="single" w:sz="5" w:space="0" w:color="9E9E9E"/>
          <w:insideH w:val="single" w:sz="5" w:space="0" w:color="9E9E9E"/>
          <w:insideV w:val="single" w:sz="5" w:space="0" w:color="9E9E9E"/>
        </w:tblBorders>
      </w:tblPr>
      <w:tblGrid>
        <w:gridCol w:w="10370"/>
      </w:tblGrid>
      <w:tr>
        <w:trPr>
          <w:cantSplit/>
        </w:trPr>
        <w:tc>
          <w:tcPr>
            <w:tcW w:type="dxa" w:w="10370"/>
            <w:shd w:fill="E7E6E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sz w:val="21"/>
              </w:rPr>
              <w:t>12. Przed rozpoczęciem przewozu członkowie załogi powinni: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a) uzyskać informacje o załadowanych towarach niebezpiecznych i zapoznać się z czynnościami awaryjnymi określonymi w instrukcjach pisemnych,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b) usunąć z pojazdu wszystkie nalepki ostrzegawcze,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c) otworzyć co najmniej jedną sztukę przesyłki w celu kontroli zawartości.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9E9E9E"/>
          <w:left w:val="single" w:sz="5" w:space="0" w:color="9E9E9E"/>
          <w:bottom w:val="single" w:sz="5" w:space="0" w:color="9E9E9E"/>
          <w:right w:val="single" w:sz="5" w:space="0" w:color="9E9E9E"/>
          <w:insideH w:val="single" w:sz="5" w:space="0" w:color="9E9E9E"/>
          <w:insideV w:val="single" w:sz="5" w:space="0" w:color="9E9E9E"/>
        </w:tblBorders>
      </w:tblPr>
      <w:tblGrid>
        <w:gridCol w:w="10370"/>
      </w:tblGrid>
      <w:tr>
        <w:trPr>
          <w:cantSplit/>
        </w:trPr>
        <w:tc>
          <w:tcPr>
            <w:tcW w:type="dxa" w:w="10370"/>
            <w:shd w:fill="E7E6E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sz w:val="21"/>
              </w:rPr>
              <w:t>13. W pojeździe przewożącym towary niebezpieczne mogą być przewożone: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a) dowolne osoby posiadające dokument tożsamości,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b) jedna osoba postronna, jeżeli ma zapięty pas bezpieczeństwa,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c) wyłącznie członkowie załogi pojazdu.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9E9E9E"/>
          <w:left w:val="single" w:sz="5" w:space="0" w:color="9E9E9E"/>
          <w:bottom w:val="single" w:sz="5" w:space="0" w:color="9E9E9E"/>
          <w:right w:val="single" w:sz="5" w:space="0" w:color="9E9E9E"/>
          <w:insideH w:val="single" w:sz="5" w:space="0" w:color="9E9E9E"/>
          <w:insideV w:val="single" w:sz="5" w:space="0" w:color="9E9E9E"/>
        </w:tblBorders>
      </w:tblPr>
      <w:tblGrid>
        <w:gridCol w:w="10370"/>
      </w:tblGrid>
      <w:tr>
        <w:trPr>
          <w:cantSplit/>
        </w:trPr>
        <w:tc>
          <w:tcPr>
            <w:tcW w:type="dxa" w:w="10370"/>
            <w:shd w:fill="E7E6E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sz w:val="21"/>
              </w:rPr>
              <w:t>14. Czy kierowca może otworzyć sztukę przesyłki zawierającą towar niebezpieczny?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a) Nie, kierowcy i pomocnikowi kierowcy zabrania się otwierania sztuk przesyłki.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b) Tak, jeżeli nadawca wyrazi zgodę telefonicznie.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c) Tak, pod warunkiem że nie używa narzędzi metalowych.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9E9E9E"/>
          <w:left w:val="single" w:sz="5" w:space="0" w:color="9E9E9E"/>
          <w:bottom w:val="single" w:sz="5" w:space="0" w:color="9E9E9E"/>
          <w:right w:val="single" w:sz="5" w:space="0" w:color="9E9E9E"/>
          <w:insideH w:val="single" w:sz="5" w:space="0" w:color="9E9E9E"/>
          <w:insideV w:val="single" w:sz="5" w:space="0" w:color="9E9E9E"/>
        </w:tblBorders>
      </w:tblPr>
      <w:tblGrid>
        <w:gridCol w:w="10370"/>
      </w:tblGrid>
      <w:tr>
        <w:trPr>
          <w:cantSplit/>
        </w:trPr>
        <w:tc>
          <w:tcPr>
            <w:tcW w:type="dxa" w:w="10370"/>
            <w:shd w:fill="E7E6E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sz w:val="21"/>
              </w:rPr>
              <w:t>15. Przenośne urządzenie oświetleniowe używane w pojeździe z towarami niebezpiecznymi: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a) musi być zawsze zasilane napięciem 230 V,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b) nie może mieć powierzchni metalowej zdolnej do wywołania iskry,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c) może mieć otwarty płomień, jeżeli pojazd stoi na zewnątrz.</w:t>
            </w:r>
          </w:p>
        </w:tc>
      </w:tr>
    </w:tbl>
    <w:p>
      <w:pPr>
        <w:spacing w:after="40"/>
      </w:pPr>
    </w:p>
    <w:p>
      <w:r>
        <w:br w:type="page"/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9E9E9E"/>
          <w:left w:val="single" w:sz="5" w:space="0" w:color="9E9E9E"/>
          <w:bottom w:val="single" w:sz="5" w:space="0" w:color="9E9E9E"/>
          <w:right w:val="single" w:sz="5" w:space="0" w:color="9E9E9E"/>
          <w:insideH w:val="single" w:sz="5" w:space="0" w:color="9E9E9E"/>
          <w:insideV w:val="single" w:sz="5" w:space="0" w:color="9E9E9E"/>
        </w:tblBorders>
      </w:tblPr>
      <w:tblGrid>
        <w:gridCol w:w="10370"/>
      </w:tblGrid>
      <w:tr>
        <w:trPr>
          <w:cantSplit/>
        </w:trPr>
        <w:tc>
          <w:tcPr>
            <w:tcW w:type="dxa" w:w="10370"/>
            <w:shd w:fill="E7E6E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sz w:val="21"/>
              </w:rPr>
              <w:t>16. Podczas załadunku lub rozładunku silnik pojazdu: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a) powinien zawsze pracować na biegu jałowym,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b) musi być wyłączony bez żadnego wyjątku,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c) powinien być wyłączony, z wyjątkiem sytuacji, gdy jest niezbędny do napędu pomp lub innych urządzeń i zezwalają na to przepisy.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9E9E9E"/>
          <w:left w:val="single" w:sz="5" w:space="0" w:color="9E9E9E"/>
          <w:bottom w:val="single" w:sz="5" w:space="0" w:color="9E9E9E"/>
          <w:right w:val="single" w:sz="5" w:space="0" w:color="9E9E9E"/>
          <w:insideH w:val="single" w:sz="5" w:space="0" w:color="9E9E9E"/>
          <w:insideV w:val="single" w:sz="5" w:space="0" w:color="9E9E9E"/>
        </w:tblBorders>
      </w:tblPr>
      <w:tblGrid>
        <w:gridCol w:w="10370"/>
      </w:tblGrid>
      <w:tr>
        <w:trPr>
          <w:cantSplit/>
        </w:trPr>
        <w:tc>
          <w:tcPr>
            <w:tcW w:type="dxa" w:w="10370"/>
            <w:shd w:fill="E7E6E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sz w:val="21"/>
              </w:rPr>
              <w:t>17. Podczas czynności ładunkowych w pobliżu pojazdu i wewnątrz pojazdu: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a) zakazane jest tylko palenie tradycyjnych papierosów, a używanie e-papierosów jest dozwolone,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b) zabronione jest palenie, w tym używanie papierosów elektronicznych i podobnych urządzeń,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c) palenie jest dozwolone w kabinie przy zamkniętych oknach.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9E9E9E"/>
          <w:left w:val="single" w:sz="5" w:space="0" w:color="9E9E9E"/>
          <w:bottom w:val="single" w:sz="5" w:space="0" w:color="9E9E9E"/>
          <w:right w:val="single" w:sz="5" w:space="0" w:color="9E9E9E"/>
          <w:insideH w:val="single" w:sz="5" w:space="0" w:color="9E9E9E"/>
          <w:insideV w:val="single" w:sz="5" w:space="0" w:color="9E9E9E"/>
        </w:tblBorders>
      </w:tblPr>
      <w:tblGrid>
        <w:gridCol w:w="10370"/>
      </w:tblGrid>
      <w:tr>
        <w:trPr>
          <w:cantSplit/>
        </w:trPr>
        <w:tc>
          <w:tcPr>
            <w:tcW w:type="dxa" w:w="10370"/>
            <w:shd w:fill="E7E6E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sz w:val="21"/>
              </w:rPr>
              <w:t>18. Prawidłowe zabezpieczenie zaparkowanej jednostki transportowej polega na: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a) zaciągnięciu hamulca postojowego, a w przypadku przyczepy bez urządzenia hamującego również zastosowaniu co najmniej jednego klina pod koło,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b) włączeniu wyłącznie świateł awaryjnych,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c) ustawieniu dwóch znaków ostrzegawczych bez używania hamulca postojowego.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9E9E9E"/>
          <w:left w:val="single" w:sz="5" w:space="0" w:color="9E9E9E"/>
          <w:bottom w:val="single" w:sz="5" w:space="0" w:color="9E9E9E"/>
          <w:right w:val="single" w:sz="5" w:space="0" w:color="9E9E9E"/>
          <w:insideH w:val="single" w:sz="5" w:space="0" w:color="9E9E9E"/>
          <w:insideV w:val="single" w:sz="5" w:space="0" w:color="9E9E9E"/>
        </w:tblBorders>
      </w:tblPr>
      <w:tblGrid>
        <w:gridCol w:w="10370"/>
      </w:tblGrid>
      <w:tr>
        <w:trPr>
          <w:cantSplit/>
        </w:trPr>
        <w:tc>
          <w:tcPr>
            <w:tcW w:type="dxa" w:w="10370"/>
            <w:shd w:fill="E7E6E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sz w:val="21"/>
              </w:rPr>
              <w:t>19. Do wyposażenia ogólnego jednostki transportowej należy między innymi: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a) jeden trójkąt ostrzegawczy i apteczka, bez względu na rodzaj przewozu,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b) jeden klin dla całego zestawu pojazdów i jeden znak ostrzegawczy,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c) klin pod koło odpowiedni do masy pojazdu i średnicy koła dla każdego pojazdu, dwa stojące znaki ostrzegawcze oraz płyn do płukania oczu, z uwzględnieniem wyjątków ADR.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9E9E9E"/>
          <w:left w:val="single" w:sz="5" w:space="0" w:color="9E9E9E"/>
          <w:bottom w:val="single" w:sz="5" w:space="0" w:color="9E9E9E"/>
          <w:right w:val="single" w:sz="5" w:space="0" w:color="9E9E9E"/>
          <w:insideH w:val="single" w:sz="5" w:space="0" w:color="9E9E9E"/>
          <w:insideV w:val="single" w:sz="5" w:space="0" w:color="9E9E9E"/>
        </w:tblBorders>
      </w:tblPr>
      <w:tblGrid>
        <w:gridCol w:w="10370"/>
      </w:tblGrid>
      <w:tr>
        <w:trPr>
          <w:cantSplit/>
        </w:trPr>
        <w:tc>
          <w:tcPr>
            <w:tcW w:type="dxa" w:w="10370"/>
            <w:shd w:fill="E7E6E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sz w:val="21"/>
              </w:rPr>
              <w:t>20. Każdy członek załogi powinien posiadać: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a) wyłącznie hełm ochronny i obuwie robocze,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b) kamizelkę ostrzegawczą, przenośne urządzenie oświetleniowe, rękawice ochronne i ochronę oczu,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c) zawsze aparat oddechowy i butlę tlenową.</w:t>
            </w:r>
          </w:p>
        </w:tc>
      </w:tr>
    </w:tbl>
    <w:p>
      <w:pPr>
        <w:spacing w:after="40"/>
      </w:pPr>
    </w:p>
    <w:p>
      <w:r>
        <w:br w:type="page"/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9E9E9E"/>
          <w:left w:val="single" w:sz="5" w:space="0" w:color="9E9E9E"/>
          <w:bottom w:val="single" w:sz="5" w:space="0" w:color="9E9E9E"/>
          <w:right w:val="single" w:sz="5" w:space="0" w:color="9E9E9E"/>
          <w:insideH w:val="single" w:sz="5" w:space="0" w:color="9E9E9E"/>
          <w:insideV w:val="single" w:sz="5" w:space="0" w:color="9E9E9E"/>
        </w:tblBorders>
      </w:tblPr>
      <w:tblGrid>
        <w:gridCol w:w="10370"/>
      </w:tblGrid>
      <w:tr>
        <w:trPr>
          <w:cantSplit/>
        </w:trPr>
        <w:tc>
          <w:tcPr>
            <w:tcW w:type="dxa" w:w="10370"/>
            <w:shd w:fill="E7E6E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sz w:val="21"/>
              </w:rPr>
              <w:t>21. Maska ucieczkowa powinna znajdować się w wyposażeniu każdego członka załogi podczas przewozu towarów oznakowanych nalepką: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a) 2.3 lub 6.1,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b) 3 lub 8,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c) 4.1 lub 9.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9E9E9E"/>
          <w:left w:val="single" w:sz="5" w:space="0" w:color="9E9E9E"/>
          <w:bottom w:val="single" w:sz="5" w:space="0" w:color="9E9E9E"/>
          <w:right w:val="single" w:sz="5" w:space="0" w:color="9E9E9E"/>
          <w:insideH w:val="single" w:sz="5" w:space="0" w:color="9E9E9E"/>
          <w:insideV w:val="single" w:sz="5" w:space="0" w:color="9E9E9E"/>
        </w:tblBorders>
      </w:tblPr>
      <w:tblGrid>
        <w:gridCol w:w="10370"/>
      </w:tblGrid>
      <w:tr>
        <w:trPr>
          <w:cantSplit/>
        </w:trPr>
        <w:tc>
          <w:tcPr>
            <w:tcW w:type="dxa" w:w="10370"/>
            <w:shd w:fill="E7E6E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sz w:val="21"/>
              </w:rPr>
              <w:t>22. Płyn do płukania oczu nie jest wymagany przy przewozie towarów oznakowanych wyłącznie nalepkami: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a) 3, 5.1 i 8,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b) 6.1,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c) 1, 1.4, 1.5, 1.6, 2.1, 2.2 i 2.3.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9E9E9E"/>
          <w:left w:val="single" w:sz="5" w:space="0" w:color="9E9E9E"/>
          <w:bottom w:val="single" w:sz="5" w:space="0" w:color="9E9E9E"/>
          <w:right w:val="single" w:sz="5" w:space="0" w:color="9E9E9E"/>
          <w:insideH w:val="single" w:sz="5" w:space="0" w:color="9E9E9E"/>
          <w:insideV w:val="single" w:sz="5" w:space="0" w:color="9E9E9E"/>
        </w:tblBorders>
      </w:tblPr>
      <w:tblGrid>
        <w:gridCol w:w="10370"/>
      </w:tblGrid>
      <w:tr>
        <w:trPr>
          <w:cantSplit/>
        </w:trPr>
        <w:tc>
          <w:tcPr>
            <w:tcW w:type="dxa" w:w="10370"/>
            <w:shd w:fill="E7E6E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sz w:val="21"/>
              </w:rPr>
              <w:t>23. Jednostka transportowa o dopuszczalnej masie całkowitej powyżej 7,5 t powinna być wyposażona w gaśnice o łącznej minimalnej zawartości środka gaśniczego: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a) 6 kg w jednej gaśnicy,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b) 12 kg w co najmniej dwóch gaśnicach, przy czym jedna ma co najmniej 2 kg, a jedna z pozostałych co najmniej 6 kg,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c) 6 kg w trzech gaśnicach po 2 kg.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9E9E9E"/>
          <w:left w:val="single" w:sz="5" w:space="0" w:color="9E9E9E"/>
          <w:bottom w:val="single" w:sz="5" w:space="0" w:color="9E9E9E"/>
          <w:right w:val="single" w:sz="5" w:space="0" w:color="9E9E9E"/>
          <w:insideH w:val="single" w:sz="5" w:space="0" w:color="9E9E9E"/>
          <w:insideV w:val="single" w:sz="5" w:space="0" w:color="9E9E9E"/>
        </w:tblBorders>
      </w:tblPr>
      <w:tblGrid>
        <w:gridCol w:w="10370"/>
      </w:tblGrid>
      <w:tr>
        <w:trPr>
          <w:cantSplit/>
        </w:trPr>
        <w:tc>
          <w:tcPr>
            <w:tcW w:type="dxa" w:w="10370"/>
            <w:shd w:fill="E7E6E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sz w:val="21"/>
              </w:rPr>
              <w:t>24. Przy przewozie korzystającym z wyłączenia określonego w ADR 1.1.3.6 jednostka transportowa powinna mieć co najmniej: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a) jedną gaśnicę o minimalnej zawartości 2 kg środka gaśniczego,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b) dwie gaśnice o łącznej zawartości 12 kg,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c) nie musi mieć żadnej gaśnicy.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9E9E9E"/>
          <w:left w:val="single" w:sz="5" w:space="0" w:color="9E9E9E"/>
          <w:bottom w:val="single" w:sz="5" w:space="0" w:color="9E9E9E"/>
          <w:right w:val="single" w:sz="5" w:space="0" w:color="9E9E9E"/>
          <w:insideH w:val="single" w:sz="5" w:space="0" w:color="9E9E9E"/>
          <w:insideV w:val="single" w:sz="5" w:space="0" w:color="9E9E9E"/>
        </w:tblBorders>
      </w:tblPr>
      <w:tblGrid>
        <w:gridCol w:w="10370"/>
      </w:tblGrid>
      <w:tr>
        <w:trPr>
          <w:cantSplit/>
        </w:trPr>
        <w:tc>
          <w:tcPr>
            <w:tcW w:type="dxa" w:w="10370"/>
            <w:shd w:fill="E7E6E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sz w:val="21"/>
              </w:rPr>
              <w:t>25. Gaśnice przewożone zgodnie z ADR powinny być: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a) bez plomby, jeżeli manometr wskazuje prawidłowe ciśnienie,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b) dopuszczone do użycia przez trzy miesiące po upływie terminu kontroli,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c) zaplombowane, oznakowane terminem następnej kontroli lub maksymalnym okresem użytkowania, łatwo dostępne i chronione przed wpływem warunków atmosferycznych.</w:t>
            </w:r>
          </w:p>
        </w:tc>
      </w:tr>
    </w:tbl>
    <w:p>
      <w:pPr>
        <w:spacing w:after="40"/>
      </w:pPr>
    </w:p>
    <w:p>
      <w:r>
        <w:br w:type="page"/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9E9E9E"/>
          <w:left w:val="single" w:sz="5" w:space="0" w:color="9E9E9E"/>
          <w:bottom w:val="single" w:sz="5" w:space="0" w:color="9E9E9E"/>
          <w:right w:val="single" w:sz="5" w:space="0" w:color="9E9E9E"/>
          <w:insideH w:val="single" w:sz="5" w:space="0" w:color="9E9E9E"/>
          <w:insideV w:val="single" w:sz="5" w:space="0" w:color="9E9E9E"/>
        </w:tblBorders>
      </w:tblPr>
      <w:tblGrid>
        <w:gridCol w:w="10370"/>
      </w:tblGrid>
      <w:tr>
        <w:trPr>
          <w:cantSplit/>
        </w:trPr>
        <w:tc>
          <w:tcPr>
            <w:tcW w:type="dxa" w:w="10370"/>
            <w:shd w:fill="E7E6E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sz w:val="21"/>
              </w:rPr>
              <w:t>26. Sztuki przesyłki w pojeździe powinny być: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a) zamocowane lub zabezpieczone tak, aby nie przemieszczały się, nie zmieniały położenia i nie uległy uszkodzeniu w normalnych warunkach przewozu,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b) mocowane wyłącznie wtedy, gdy masa jednej sztuki przekracza 1000 kg,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c) ustawiane luźno, aby pozostawić przestrzeń na rozszerzalność ładunku.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9E9E9E"/>
          <w:left w:val="single" w:sz="5" w:space="0" w:color="9E9E9E"/>
          <w:bottom w:val="single" w:sz="5" w:space="0" w:color="9E9E9E"/>
          <w:right w:val="single" w:sz="5" w:space="0" w:color="9E9E9E"/>
          <w:insideH w:val="single" w:sz="5" w:space="0" w:color="9E9E9E"/>
          <w:insideV w:val="single" w:sz="5" w:space="0" w:color="9E9E9E"/>
        </w:tblBorders>
      </w:tblPr>
      <w:tblGrid>
        <w:gridCol w:w="10370"/>
      </w:tblGrid>
      <w:tr>
        <w:trPr>
          <w:cantSplit/>
        </w:trPr>
        <w:tc>
          <w:tcPr>
            <w:tcW w:type="dxa" w:w="10370"/>
            <w:shd w:fill="E7E6E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sz w:val="21"/>
              </w:rPr>
              <w:t>27. Jeżeli po rozładunku stwierdzono wyciek zawartości sztuki przesyłki do pojazdu lub kontenera, należy: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a) poczekać do planowego cotygodniowego mycia pojazdu,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b) oczyścić pojazd lub kontener możliwie szybko, a najpóźniej przed ponownym załadunkiem,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c) nie podejmować działań, jeżeli następny ładunek należy do tej samej klasy ADR.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9E9E9E"/>
          <w:left w:val="single" w:sz="5" w:space="0" w:color="9E9E9E"/>
          <w:bottom w:val="single" w:sz="5" w:space="0" w:color="9E9E9E"/>
          <w:right w:val="single" w:sz="5" w:space="0" w:color="9E9E9E"/>
          <w:insideH w:val="single" w:sz="5" w:space="0" w:color="9E9E9E"/>
          <w:insideV w:val="single" w:sz="5" w:space="0" w:color="9E9E9E"/>
        </w:tblBorders>
      </w:tblPr>
      <w:tblGrid>
        <w:gridCol w:w="10370"/>
      </w:tblGrid>
      <w:tr>
        <w:trPr>
          <w:cantSplit/>
        </w:trPr>
        <w:tc>
          <w:tcPr>
            <w:tcW w:type="dxa" w:w="10370"/>
            <w:shd w:fill="E7E6E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sz w:val="21"/>
              </w:rPr>
              <w:t>28. Po zatrzymaniu pojazdu w wyniku wypadku lub awarii członek załogi powinien w pierwszej kolejności, jeżeli jest to bezpieczne: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a) kontynuować jazdę do najbliższego parkingu,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b) otworzyć przestrzeń ładunkową w celu sprawdzenia wszystkich sztuk przesyłki,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c) uruchomić hamulec postojowy, wyłączyć silnik i odłączyć akumulator za pomocą wyłącznika głównego, jeżeli jest dostępny.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9E9E9E"/>
          <w:left w:val="single" w:sz="5" w:space="0" w:color="9E9E9E"/>
          <w:bottom w:val="single" w:sz="5" w:space="0" w:color="9E9E9E"/>
          <w:right w:val="single" w:sz="5" w:space="0" w:color="9E9E9E"/>
          <w:insideH w:val="single" w:sz="5" w:space="0" w:color="9E9E9E"/>
          <w:insideV w:val="single" w:sz="5" w:space="0" w:color="9E9E9E"/>
        </w:tblBorders>
      </w:tblPr>
      <w:tblGrid>
        <w:gridCol w:w="10370"/>
      </w:tblGrid>
      <w:tr>
        <w:trPr>
          <w:cantSplit/>
        </w:trPr>
        <w:tc>
          <w:tcPr>
            <w:tcW w:type="dxa" w:w="10370"/>
            <w:shd w:fill="E7E6E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sz w:val="21"/>
              </w:rPr>
              <w:t>29. W przypadku uwolnienia towaru niebezpiecznego należy: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a) nie dotykać rozlanej substancji, unikać jej wdychania i pozostawać po stronie nawietrznej,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b) podejść od strony zawietrznej i rozpoznać substancję po zapachu,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c) zawsze spłukać substancję wodą, niezależnie od jej właściwości.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9E9E9E"/>
          <w:left w:val="single" w:sz="5" w:space="0" w:color="9E9E9E"/>
          <w:bottom w:val="single" w:sz="5" w:space="0" w:color="9E9E9E"/>
          <w:right w:val="single" w:sz="5" w:space="0" w:color="9E9E9E"/>
          <w:insideH w:val="single" w:sz="5" w:space="0" w:color="9E9E9E"/>
          <w:insideV w:val="single" w:sz="5" w:space="0" w:color="9E9E9E"/>
        </w:tblBorders>
      </w:tblPr>
      <w:tblGrid>
        <w:gridCol w:w="10370"/>
      </w:tblGrid>
      <w:tr>
        <w:trPr>
          <w:cantSplit/>
        </w:trPr>
        <w:tc>
          <w:tcPr>
            <w:tcW w:type="dxa" w:w="10370"/>
            <w:shd w:fill="E7E6E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sz w:val="21"/>
              </w:rPr>
              <w:t>30. W razie pożaru podczas przewozu towarów niebezpiecznych członek załogi: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a) powinien zawsze próbować ugasić pożar przedziału ładunkowego,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b) może, jeżeli jest to bezpieczne i został przeszkolony, użyć gaśnicy do gaszenia małego pożaru opon, hamulców lub komory silnika, ale nie powinien gasić pożaru obejmującego przedział ładunkowy,</w:t>
            </w:r>
          </w:p>
        </w:tc>
      </w:tr>
      <w:tr>
        <w:trPr>
          <w:cantSplit/>
        </w:trPr>
        <w:tc>
          <w:tcPr>
            <w:tcW w:type="dxa" w:w="10370"/>
            <w:vAlign w:val="center"/>
            <w:tcMar>
              <w:top w:w="75" w:type="dxa"/>
              <w:start w:w="160" w:type="dxa"/>
              <w:bottom w:w="75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c) nie może użyć gaśnicy w żadnej sytuacji.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after="160"/>
        <w:jc w:val="center"/>
      </w:pPr>
      <w:r>
        <w:rPr>
          <w:rFonts w:ascii="Arial" w:hAnsi="Arial"/>
          <w:b/>
          <w:sz w:val="30"/>
        </w:rPr>
        <w:t>KARTA ODPOWIEDZI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</w:tblPr>
      <w:tblGrid>
        <w:gridCol w:w="680"/>
        <w:gridCol w:w="1474"/>
        <w:gridCol w:w="794"/>
        <w:gridCol w:w="680"/>
        <w:gridCol w:w="1474"/>
        <w:gridCol w:w="794"/>
        <w:gridCol w:w="680"/>
        <w:gridCol w:w="1474"/>
        <w:gridCol w:w="794"/>
      </w:tblGrid>
      <w:tr>
        <w:tc>
          <w:tcPr>
            <w:tcW w:type="dxa" w:w="1152"/>
            <w:shd w:fill="404040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Nr</w:t>
            </w:r>
          </w:p>
        </w:tc>
        <w:tc>
          <w:tcPr>
            <w:tcW w:type="dxa" w:w="1152"/>
            <w:shd w:fill="404040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Odpowiedź</w:t>
            </w:r>
          </w:p>
        </w:tc>
        <w:tc>
          <w:tcPr>
            <w:tcW w:type="dxa" w:w="1152"/>
            <w:shd w:fill="404040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Punkty</w:t>
            </w:r>
          </w:p>
        </w:tc>
        <w:tc>
          <w:tcPr>
            <w:tcW w:type="dxa" w:w="1152"/>
            <w:shd w:fill="404040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Nr</w:t>
            </w:r>
          </w:p>
        </w:tc>
        <w:tc>
          <w:tcPr>
            <w:tcW w:type="dxa" w:w="1152"/>
            <w:shd w:fill="404040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Odpowiedź</w:t>
            </w:r>
          </w:p>
        </w:tc>
        <w:tc>
          <w:tcPr>
            <w:tcW w:type="dxa" w:w="1152"/>
            <w:shd w:fill="404040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Punkty</w:t>
            </w:r>
          </w:p>
        </w:tc>
        <w:tc>
          <w:tcPr>
            <w:tcW w:type="dxa" w:w="1152"/>
            <w:shd w:fill="404040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Nr</w:t>
            </w:r>
          </w:p>
        </w:tc>
        <w:tc>
          <w:tcPr>
            <w:tcW w:type="dxa" w:w="1152"/>
            <w:shd w:fill="404040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Odpowiedź</w:t>
            </w:r>
          </w:p>
        </w:tc>
        <w:tc>
          <w:tcPr>
            <w:tcW w:type="dxa" w:w="1152"/>
            <w:shd w:fill="404040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Punkty</w:t>
            </w:r>
          </w:p>
        </w:tc>
      </w:tr>
      <w:tr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1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A / B / C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11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A / B / C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21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A / B / C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A / B / C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12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A / B / C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22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A / B / C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3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A / B / C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13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A / B / C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23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A / B / C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4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A / B / C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14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A / B / C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24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A / B / C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5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A / B / C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15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A / B / C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25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A / B / C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6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A / B / C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16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A / B / C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26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A / B / C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7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A / B / C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17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A / B / C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27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A / B / C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8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A / B / C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18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A / B / C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28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A / B / C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9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A / B / C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19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A / B / C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29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A / B / C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10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A / B / C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20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A / B / C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30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A / B / C</w:t>
            </w:r>
          </w:p>
        </w:tc>
        <w:tc>
          <w:tcPr>
            <w:tcW w:type="dxa" w:w="1152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</w:r>
          </w:p>
        </w:tc>
      </w:tr>
    </w:tbl>
    <w:p>
      <w:pPr>
        <w:spacing w:before="240"/>
        <w:jc w:val="center"/>
      </w:pPr>
      <w:r>
        <w:rPr>
          <w:rFonts w:ascii="Arial" w:hAnsi="Arial"/>
          <w:b/>
          <w:sz w:val="22"/>
        </w:rPr>
        <w:t>Wynik: .......... / 30        ZALICZONO / NIE ZALICZONO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4" w:right="935" w:bottom="794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95959"/>
        <w:sz w:val="16"/>
      </w:rPr>
      <w:t>Symulacja egzaminu ADR – kurs podstawowy – Zestaw 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color w:val="595959"/>
        <w:sz w:val="16"/>
      </w:rPr>
      <w:t>Ośrodek Szkolenia Zawodowego DOBRY KURS Sylwia Kaczmarek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