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 w:eastAsia="Arial"/>
          <w:b/>
          <w:i w:val="0"/>
          <w:sz w:val="32"/>
        </w:rPr>
        <w:t>СИМУЛЯЦИЯ ЭКЗАМЕНА ADR</w:t>
      </w:r>
    </w:p>
    <w:p>
      <w:pPr>
        <w:spacing w:after="160"/>
        <w:jc w:val="center"/>
      </w:pPr>
      <w:r>
        <w:rPr>
          <w:rFonts w:ascii="Arial" w:hAnsi="Arial" w:eastAsia="Arial"/>
          <w:b/>
          <w:i w:val="0"/>
          <w:sz w:val="26"/>
        </w:rPr>
        <w:t>БАЗОВЫЙ КУРС — КОМПЛЕКТ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2041"/>
        <w:gridCol w:w="3969"/>
        <w:gridCol w:w="1474"/>
        <w:gridCol w:w="2721"/>
      </w:tblGrid>
      <w:tr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r>
              <w:rPr>
                <w:rFonts w:ascii="Arial" w:hAnsi="Arial" w:eastAsia="Arial"/>
              </w:rPr>
              <w:t>Имя и фамилия: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9"/>
              </w:rPr>
              <w:t>........................................................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r>
              <w:rPr>
                <w:rFonts w:ascii="Arial" w:hAnsi="Arial" w:eastAsia="Arial"/>
              </w:rPr>
              <w:t>Дата: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9"/>
              </w:rPr>
              <w:t>..............................</w:t>
            </w:r>
          </w:p>
        </w:tc>
      </w:tr>
      <w:tr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r>
              <w:rPr>
                <w:rFonts w:ascii="Arial" w:hAnsi="Arial" w:eastAsia="Arial"/>
              </w:rPr>
              <w:t>Результат: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9"/>
              </w:rPr>
              <w:t>........ / 30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r>
              <w:rPr>
                <w:rFonts w:ascii="Arial" w:hAnsi="Arial" w:eastAsia="Arial"/>
              </w:rPr>
              <w:t>Оценка: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Arial" w:hAnsi="Arial" w:eastAsia="Arial"/>
              </w:rPr>
              <w:t>СДАНО / НЕ СДАНО</w:t>
            </w:r>
          </w:p>
        </w:tc>
      </w:tr>
    </w:tbl>
    <w:p>
      <w:pPr>
        <w:spacing w:before="160" w:after="60"/>
      </w:pPr>
      <w:r>
        <w:rPr>
          <w:rFonts w:ascii="Arial" w:hAnsi="Arial" w:eastAsia="Arial"/>
          <w:b/>
          <w:i w:val="0"/>
          <w:sz w:val="22"/>
        </w:rPr>
        <w:t>ИНСТРУКЦИЯ</w:t>
      </w:r>
    </w:p>
    <w:p>
      <w:pPr>
        <w:spacing w:after="30"/>
        <w:ind w:left="283" w:hanging="170"/>
      </w:pPr>
      <w:r>
        <w:rPr>
          <w:rFonts w:ascii="Arial" w:hAnsi="Arial" w:eastAsia="Arial"/>
          <w:b w:val="0"/>
          <w:i w:val="0"/>
          <w:sz w:val="19"/>
        </w:rPr>
        <w:t>• Тест состоит из 30 вопросов. К каждому вопросу предложены три варианта ответа: a, b, c. Только один ответ является правильным.</w:t>
      </w:r>
    </w:p>
    <w:p>
      <w:pPr>
        <w:spacing w:after="30"/>
        <w:ind w:left="283" w:hanging="170"/>
      </w:pPr>
      <w:r>
        <w:rPr>
          <w:rFonts w:ascii="Arial" w:hAnsi="Arial" w:eastAsia="Arial"/>
          <w:b w:val="0"/>
          <w:i w:val="0"/>
          <w:sz w:val="19"/>
        </w:rPr>
        <w:t>• Время выполнения теста: 60 минут.</w:t>
      </w:r>
    </w:p>
    <w:p>
      <w:pPr>
        <w:spacing w:after="30"/>
        <w:ind w:left="283" w:hanging="170"/>
      </w:pPr>
      <w:r>
        <w:rPr>
          <w:rFonts w:ascii="Arial" w:hAnsi="Arial" w:eastAsia="Arial"/>
          <w:b w:val="0"/>
          <w:i w:val="0"/>
          <w:sz w:val="19"/>
        </w:rPr>
        <w:t>• Для успешной сдачи симуляции необходимо дать не менее 20 правильных ответов (2/3 вопросов).</w:t>
      </w:r>
    </w:p>
    <w:p>
      <w:pPr>
        <w:spacing w:after="30"/>
        <w:ind w:left="283" w:hanging="170"/>
      </w:pPr>
      <w:r>
        <w:rPr>
          <w:rFonts w:ascii="Arial" w:hAnsi="Arial" w:eastAsia="Arial"/>
          <w:b w:val="0"/>
          <w:i w:val="0"/>
          <w:sz w:val="19"/>
        </w:rPr>
        <w:t>• Ответы следует отмечать в бланке ответов. Вопросы являются авторским учебным материалом и не входят в официальный перечень экзаменационных вопросов.</w:t>
      </w:r>
    </w:p>
    <w:p>
      <w:pPr>
        <w:spacing w:after="30"/>
        <w:ind w:left="283" w:hanging="170"/>
      </w:pPr>
      <w:r>
        <w:rPr>
          <w:rFonts w:ascii="Arial" w:hAnsi="Arial" w:eastAsia="Arial"/>
          <w:b w:val="0"/>
          <w:i w:val="0"/>
          <w:sz w:val="19"/>
        </w:rPr>
        <w:t>• Нормативная база разработки: ADR 2025 с учетом исправления, опубликованного в 2025 году, а также национальные экзаменационные требования, действующие по состоянию на 24 июля 2026 года.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1. К классу 1 ADR относятся: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газы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взрывчатые вещества и изделия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инфекционные вещества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2. К классу 2 ADR относятся: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газы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органические пероксиды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коррозионные вещества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3. Класс 4.1 включает, в частности: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исключительно самовозгорающиеся вещества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исключительно вещества, опасно реагирующие с водой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легковоспламеняющиеся твердые вещества, самореактивные и полимеризующиеся вещества, а также десенсибилизированные твердые взрывчатые вещества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4. Класс 4.2 включает вещества: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окисляющие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способные к самовозгоранию, включая самонагревающиеся вещества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радиоактивные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5. Класс 5.2 включает: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органические пероксиды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инфекционные вещества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радиоактивные материалы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6. Класс 6.2 включает: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токсичные вещества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коррозионные вещества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инфекционные вещества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7. К классу 7 ADR относятся: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радиоактивные материалы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прочие опасные вещества и изделия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окисляющие вещества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8. Класс 9 включает: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взрывчатые вещества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прочие опасные вещества и изделия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газы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9. Группа упаковки III, как правило, означает вещество, представляющее: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высокую степень опасности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среднюю степень опасности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низкую степень опасности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10. В рамках освобождения, касающегося перевозки легковоспламеняющихся жидкостей частными лицами в емкостях многократного наполнения, количество не должно превышать: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20 л на емкость и 60 л на транспортную единицу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60 л на емкость и 240 л на транспортную единицу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450 л на емкость и 1000 л на транспортную единицу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11. Какое количество топлива, предназначенного для приведения транспортного средства в движение, может перевозиться в переносных топливных емкостях, например канистрах, на одну транспортную единицу в рамках освобождения ADR?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до 60 л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до 240 л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до 500 л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12. Освобождение для предприятий, осуществляющих перевозку в качестве вспомогательной деятельности по отношению к их основной деятельности, может применяться, если, в частности: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количество в упаковке не ограничено, если перевозка осуществляется для собственных нужд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перевозка включает доставку получателям, но только в пределах одного воеводства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количество не превышает 450 л на упаковку и пределов, установленных в 1.1.3.6, а перевозка не является поставкой, распределением или перевозкой материалов класса 7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13. Порожняя неочищенная тара после опасных грузов может пользоваться полным освобождением от требований ADR, если: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она закрыта и перевозится без транспортного документа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приняты соответствующие меры, устраняющие все виды опасности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с момента опорожнения прошло не менее 24 часов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14. Транспортные категории, применяемые при освобождении по 1.1.3.6, обозначаются номерами: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0, 1, 2, 3 и 4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I, II и III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A, B, C, D и E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15. При одновременной перевозке грузов, относящихся к разным транспортным категориям, расчетное значение для применения освобождения по 1.1.3.6 не должно превышать: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100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500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1000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16. Максимальное количество упаковок, содержащих опасные грузы в освобожденных количествах (EQ), перевозимых в одном транспортном средстве или контейнере, составляет: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1000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500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без ограничений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17. Транспортная единица, перевозящая опасные грузы, упакованные в ограниченных количествах (LQ), должна иметь маркировку спереди и сзади, если, как правило: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ее разрешенная максимальная масса может быть любой и перевозится хотя бы одна упаковка LQ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ее разрешенная максимальная масса превышает 12 т, а общая масса брутто упаковок LQ превышает 8 т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она перевозит грузы исключительно в цистерне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18. Освобождает ли применение положений об ограниченных количествах (LQ) лиц, выполняющих операции, связанные с перевозкой, от обязательного обучения согласно разделу 1.3 ADR?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да, всегда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да, но только водителя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нет, участвующие лица по-прежнему должны пройти обучение, соответствующее их обязанностям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19. Надпись «ТРАНСПОРТНЫЙ ПАКЕТ» должна быть нанесена на транспортный пакет, если: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маркировка и знаки опасности, требуемые для содержащихся в нем упаковок, не видны снаружи; высота букв надписи должна быть не менее 12 мм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транспортный пакет содержит более двух упаковок независимо от видимости маркировки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масса брутто транспортного пакета превышает 100 кг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20. Манипуляционные знаки в виде стрелок на упаковке должны размещаться: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на одной верхней поверхности упаковки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горизонтально на всех четырех боковых сторонах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не менее чем на двух противоположных вертикальных сторонах с указанием правильного направления установки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21. Идентификационный номер опасного груза на упаковке должен предваряться буквами: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ADR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UN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RID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22. Маркировочный знак вещества, опасного для окружающей среды, если он требуется, наносится на упаковку: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рядом с маркировкой номера UN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исключительно в транспортном документе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исключительно на ветровом стекле транспортного средства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23. Знаки опасности на упаковке должны размещаться: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исключительно сзади транспортного средства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только один знак, даже если имеется дополнительная опасность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рядом с маркировкой номера UN на той же поверхности, если размеры упаковки это позволяют; знаки дополнительной опасности размещаются рядом со знаком основной опасности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24. Какова правильная последовательность основных сведений об опасном грузе в транспортном документе?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номер и наименование класса, регистрационный номер транспортного средства, группа упаковки, масса водителя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буквы UN и номер UN, надлежащее отгрузочное наименование, номер или номера знаков опасности, группа упаковки — если она назначена — и код ограничения проезда через туннели в скобках, если он требуется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только торговое наименование продукта и масса брутто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25. При перевозке отходов слово «ОТХОДЫ» в транспортном документе следует: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указывать перед надлежащим отгрузочным наименованием, если это слово уже не является частью такого наименования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указывать исключительно после кода ограничения проезда через туннели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не указывать, если перевозка выполняется внутри страны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26. Транспортный документ при международной перевозке должен быть составлен: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исключительно на английском языке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на официальном языке страны отправления, а если это не английский, французский или немецкий язык — также на одном из этих языков, если соглашения между заинтересованными государствами не предусматривают иного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исключительно на языке водителя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27. Что необходимо сделать с упаковкой, из которой происходит утечка опасного груза?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ее нельзя загружать до устранения несоответствия, ремонта или помещения в соответствующую аварийную тару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ее можно загрузить, если под нее подложен абсорбирующий материал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ее можно перевозить после внесения соответствующей отметки в транспортный документ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28. До начала перевозки перевозчик должен, в частности: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проверить допуск груза к перевозке, наличие требуемых документов, состояние транспортного средства и груза, отсутствие перегруза, а также требуемую маркировку и оборудование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ограничиться проверкой уровня топлива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принять любой груз, если отправитель подписал счет-фактуру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29. Погрузчик при передаче упаковок к перевозке должен, в частности: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проверить только количество поддонов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соблюдать запреты на совместную погрузку и требования по отделению опасных грузов от пищевых продуктов, других предметов потребления и кормов для животных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удалить знаки опасности, чтобы они не загрязнились</w:t>
      </w:r>
    </w:p>
    <w:p>
      <w:pPr>
        <w:keepLines/>
        <w:spacing w:before="100" w:after="20" w:line="252" w:lineRule="auto"/>
      </w:pPr>
      <w:r>
        <w:rPr>
          <w:rFonts w:ascii="Arial" w:hAnsi="Arial" w:eastAsia="Arial"/>
          <w:b/>
          <w:i w:val="0"/>
          <w:sz w:val="20"/>
        </w:rPr>
        <w:t>30. Знак «(-)» в колонке 15 таблицы A раздела 3.2 ADR означает, что: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a) груз можно перевозить только в ночное время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b) груз полностью освобожден от требований ADR</w:t>
      </w:r>
      <w:r>
        <w:br/>
      </w:r>
      <w:r>
        <w:rPr>
          <w:rFonts w:ascii="Arial" w:hAnsi="Arial" w:eastAsia="Arial"/>
          <w:b w:val="0"/>
          <w:i w:val="0"/>
          <w:sz w:val="19"/>
        </w:rPr>
        <w:t xml:space="preserve">   c) для этого груза не назначен код ограничения проезда через туннели</w:t>
      </w:r>
    </w:p>
    <w:p>
      <w:pPr>
        <w:spacing w:before="200" w:after="60"/>
        <w:pageBreakBefore/>
      </w:pPr>
      <w:r>
        <w:rPr>
          <w:rFonts w:ascii="Arial" w:hAnsi="Arial" w:eastAsia="Arial"/>
          <w:b/>
          <w:i w:val="0"/>
          <w:sz w:val="24"/>
        </w:rPr>
        <w:t>БЛАНК ОТВЕТОВ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624"/>
        <w:gridCol w:w="1191"/>
        <w:gridCol w:w="624"/>
        <w:gridCol w:w="624"/>
        <w:gridCol w:w="1191"/>
        <w:gridCol w:w="624"/>
        <w:gridCol w:w="624"/>
        <w:gridCol w:w="1191"/>
        <w:gridCol w:w="624"/>
      </w:tblGrid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r>
              <w:rPr>
                <w:rFonts w:ascii="Arial" w:hAnsi="Arial" w:eastAsia="Arial"/>
              </w:rPr>
              <w:t>№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r>
              <w:rPr>
                <w:rFonts w:ascii="Arial" w:hAnsi="Arial" w:eastAsia="Arial"/>
              </w:rPr>
              <w:t>Ответ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r>
              <w:rPr>
                <w:rFonts w:ascii="Arial" w:hAnsi="Arial" w:eastAsia="Arial"/>
              </w:rPr>
              <w:t>Баллы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r>
              <w:rPr>
                <w:rFonts w:ascii="Arial" w:hAnsi="Arial" w:eastAsia="Arial"/>
              </w:rPr>
              <w:t>№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r>
              <w:rPr>
                <w:rFonts w:ascii="Arial" w:hAnsi="Arial" w:eastAsia="Arial"/>
              </w:rPr>
              <w:t>Ответ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r>
              <w:rPr>
                <w:rFonts w:ascii="Arial" w:hAnsi="Arial" w:eastAsia="Arial"/>
              </w:rPr>
              <w:t>Баллы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r>
              <w:rPr>
                <w:rFonts w:ascii="Arial" w:hAnsi="Arial" w:eastAsia="Arial"/>
              </w:rPr>
              <w:t>№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r>
              <w:rPr>
                <w:rFonts w:ascii="Arial" w:hAnsi="Arial" w:eastAsia="Arial"/>
              </w:rPr>
              <w:t>Ответ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r>
              <w:rPr>
                <w:rFonts w:ascii="Arial" w:hAnsi="Arial" w:eastAsia="Arial"/>
              </w:rPr>
              <w:t>Баллы</w:t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1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11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21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2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12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22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3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13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23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4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14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24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5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15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25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6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16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26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7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17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27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8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18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28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9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19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29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10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20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30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</w:rPr>
            </w:r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</w:tbl>
    <w:p>
      <w:pPr>
        <w:spacing w:before="160"/>
        <w:jc w:val="center"/>
      </w:pPr>
      <w:r>
        <w:rPr>
          <w:rFonts w:ascii="Arial" w:hAnsi="Arial" w:eastAsia="Arial"/>
          <w:b/>
          <w:i w:val="0"/>
          <w:sz w:val="22"/>
        </w:rPr>
        <w:t>Результат: .......... / 30        СДАНО / НЕ СДАНО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</w:rPr>
      <w:t>Симуляция экзамена ADR — базовый курс — комплект 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</w:rPr>
      <w:t>Центр профессионального обучения DOBRY KURS Sylwia Kaczmarek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