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 w:eastAsia="Arial"/>
          <w:b/>
          <w:sz w:val="32"/>
        </w:rPr>
        <w:t>SYMULACJA EGZAMINU ADR</w:t>
      </w:r>
    </w:p>
    <w:p>
      <w:pPr>
        <w:spacing w:after="60"/>
        <w:jc w:val="center"/>
      </w:pPr>
      <w:r>
        <w:rPr>
          <w:rFonts w:ascii="Arial" w:hAnsi="Arial" w:eastAsia="Arial"/>
          <w:b/>
          <w:sz w:val="24"/>
        </w:rPr>
        <w:t>KLUCZ ODPOWIEDZI - KURS PODSTAWOWY - ZESTAW 3</w:t>
      </w:r>
    </w:p>
    <w:p>
      <w:pPr>
        <w:spacing w:after="100"/>
        <w:jc w:val="center"/>
      </w:pPr>
      <w:r>
        <w:rPr>
          <w:rFonts w:ascii="Arial" w:hAnsi="Arial" w:eastAsia="Arial"/>
          <w:b/>
          <w:color w:val="9C0006"/>
          <w:sz w:val="18"/>
        </w:rPr>
        <w:t>ZESTAW ZWERYFIKOWANY MERYTORYCZNIE - STAN PRAWNY NA 25.07.2026</w:t>
      </w:r>
    </w:p>
    <w:p>
      <w:pPr>
        <w:spacing w:after="160"/>
        <w:jc w:val="center"/>
      </w:pPr>
      <w:r>
        <w:rPr>
          <w:rFonts w:ascii="Arial" w:hAnsi="Arial" w:eastAsia="Arial"/>
          <w:sz w:val="18"/>
        </w:rPr>
        <w:t>Materiał dla prowadzącego. Pytania są autorskim materiałem szkoleniowym i nie stanowią oficjalnego katalogu pytań egzaminacyjnych.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2381"/>
        <w:gridCol w:w="2381"/>
        <w:gridCol w:w="2381"/>
        <w:gridCol w:w="2381"/>
      </w:tblGrid>
      <w:tr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Liczba pytań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Czas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Próg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Forma</w:t>
            </w:r>
          </w:p>
        </w:tc>
      </w:tr>
      <w:tr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20"/>
              </w:rPr>
              <w:t>30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20"/>
              </w:rPr>
              <w:t>60 minut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20"/>
              </w:rPr>
              <w:t>20/30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sz w:val="20"/>
              </w:rPr>
              <w:t>1 z 3</w:t>
            </w:r>
          </w:p>
        </w:tc>
      </w:tr>
    </w:tbl>
    <w:p>
      <w:pPr>
        <w:spacing w:before="200" w:after="60"/>
      </w:pPr>
      <w:r>
        <w:rPr>
          <w:rFonts w:ascii="Arial" w:hAnsi="Arial" w:eastAsia="Arial"/>
          <w:b/>
          <w:i w:val="0"/>
          <w:sz w:val="22"/>
        </w:rPr>
        <w:t>KLUCZ I UZASADNIENIA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808080"/>
          <w:left w:val="single" w:sz="5" w:space="0" w:color="808080"/>
          <w:bottom w:val="single" w:sz="5" w:space="0" w:color="808080"/>
          <w:right w:val="single" w:sz="5" w:space="0" w:color="808080"/>
          <w:insideH w:val="single" w:sz="5" w:space="0" w:color="808080"/>
          <w:insideV w:val="single" w:sz="5" w:space="0" w:color="808080"/>
        </w:tblBorders>
      </w:tblPr>
      <w:tblGrid>
        <w:gridCol w:w="624"/>
        <w:gridCol w:w="680"/>
        <w:gridCol w:w="6009"/>
        <w:gridCol w:w="2721"/>
      </w:tblGrid>
      <w:tr>
        <w:trPr>
          <w:tblHeader w:val="true"/>
        </w:trPr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Nr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Odp.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Uzasadnienie</w:t>
            </w:r>
          </w:p>
        </w:tc>
        <w:tc>
          <w:tcPr>
            <w:tcW w:type="dxa" w:w="2606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  <w:shd w:fill="40404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Podstawa ADR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Załączniki A i B stanowią integralną część Umowy ADR. Załącznik A obejmuje m.in. przepisy dotyczące towarów, opakowań i procedur nadawczych, a załącznik B wymagania dotyczące środków transportu i operacji transportowych.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Umowa ADR, art. 3; ADR 2025, 1.1.2.1–1.1.2.3.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Definicja obejmuje materiały i przedmioty, których międzynarodowy przewóz drogowy jest zabroniony albo dopuszczony pod określonymi warunkami.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Umowa ADR, art. 1 lit. (b).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3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Definicja jednostki transportowej obejmuje pojazd samochodowy bez przyczepy albo pojazd samochodowy z dołączoną przyczepą.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1.2.1 – definicja „jednostka transportowa”.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4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Czynności nieobjęte ukończonym szkoleniem mogą być wykonywane wyłącznie pod bezpośrednim nadzorem osoby przeszkolonej.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1.3.1.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5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rozróżnia szkolenie ogólne, stanowiskowe i szkolenie z zakresu bezpieczeństwa, odpowiednio do odpowiedzialności i obowiązków pracownika.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1.3.2.1–1.3.2.3.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6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Szkolenie powinno być okresowo uzupełniane szkoleniem doskonalącym uwzględniającym zmiany w przepisach.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1.3.2.4.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7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Pracownicy uczestniczący w przewozie kombinowanym powinni znać wymagania dotyczące innych rodzajów transportu.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1.3.2.2.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8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Zakres szkolenia ochronnego obejmuje rozpoznanie i charakterystykę zagrożeń, sposoby ich wykrywania i usuwania oraz działania po naruszeniu bezpieczeństwa.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1.10.2.2.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9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Instrukcje pisemne nakazują, jeżeli jest to właściwe i bezpieczne, zapobiegać przedostaniu się uwolnionych materiałów do środowiska wodnego lub kanalizacji oraz zebrać je przy użyciu dostępnego wyposażenia.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5.4.3.4 – instrukcje pisemne.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10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Każdy członek załogi pojazdu przewożącego towary niebezpieczne powinien posiadać dokument ze zdjęciem potwierdzający tożsamość.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1.10.1.4.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11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Grupa pakowania II odpowiada materiałom stwarzającym średnie zagrożenie.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1.2.1 – definicja „grupa pakowania”.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12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Jednym z podstawowych kryteriów klasy 3 jest temperatura zapłonu nie wyższa niż 60°C, z uwzględnieniem wyjątków i dodatkowych zasad określonych w ADR.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2.2.3.1.1.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13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Materiały utleniające nie muszą być same palne, ale mogą wskutek wydzielania tlenu powodować zapalenie lub podtrzymywać palenie innych materiałów.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2.2.51.1.1.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14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Wyłączenie dotyczy przewozu ratunkowego służącego ratowaniu życia lub ochronie środowiska pod warunkiem zastosowania wszystkich środków niezbędnych dla pełnego bezpieczeństwa.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1.1.3.1 lit. (e).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15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Nadawca powinien używać tylko opakowań, DPPL i cystern dopuszczonych, odpowiednich dla danego materiału i prawidłowo oznakowanych.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1.4.2.1.1 lit. (c).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16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Przewoźnik nie powinien rozpoczynać przewozu, dopóki stwierdzone naruszenia nie zostaną usunięte.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1.4.2.2.3.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17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Przewóz powinien zostać niezwłocznie przerwany, a jego kontynuacja jest możliwa dopiero po zapewnieniu zgodności albo uzyskaniu wymaganego pozwolenia.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1.4.2.2.4.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18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Rozładowca ma obowiązek porównać właściwe informacje z dokumentu przewozowego z oznakowaniem jednostki ładunkowej lub środka transportu.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1.4.3.7.1 lit. (a).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19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Co do zasady litery „UN” i numer UN mają co najmniej 12 mm wysokości. ADR przewiduje mniejsze wartości dla określonych małych sztuk przesyłki i naczyń.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5.2.1.1.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20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wymaga dodatkowego napisu „AWARYJNE” o wysokości liter nie mniejszej niż 12 mm.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5.2.1.3.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21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Te trzy elementy wyposażenia dodatkowego są wymagane tylko dla materiałów stałych i ciekłych oznakowanych wskazanymi nalepkami.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8.1.5.3 i przypis 4.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22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Duże nalepki niezwiązane z przewożonymi towarami lub ich pozostałościami muszą zostać zdjęte albo zakryte.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5.3.1.1.6.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23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Standardowe wymiary tablicy to 40 × 30 cm, a szerokość czarnego obrzeża wynosi 15 mm.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5.3.2.2.1.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24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dopuszcza zapis „PRÓŻNE OPAKOWANIE” uzupełniony informacją o ostatnio przewożonym towarze, np. „PRÓŻNE OPAKOWANIE, 6.1 (3)”.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5.4.1.1.6.2.1.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25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Minimalny okres przechowywania kopii dokumentu przewozowego i dokumentów dodatkowych wynosi trzy miesiące.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5.4.4.1.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26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Załadunek nie może się odbyć, jeżeli dokumenty lub oględziny wykazują niespełnienie obowiązujących wymagań.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7.5.1.2.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27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Możliwość wspólnego załadunku ocenia się na podstawie tabeli zakazów ładowania razem, według nalepek ostrzegawczych.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7.5.2.1.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28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B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Jeżeli stosuje się oddzielenie wolną przestrzenią, jej szerokość powinna wynosić co najmniej 0,8 m.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7.5.4 lit. (c).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29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C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Zakaz palenia obowiązuje w pobliżu i wewnątrz pojazdu podczas manipulowania ładunkiem oraz obejmuje e-papierosy i podobne urządzenia.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8.3.5.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30</w:t>
            </w:r>
          </w:p>
        </w:tc>
        <w:tc>
          <w:tcPr>
            <w:tcW w:type="dxa" w:w="680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A</w:t>
            </w:r>
          </w:p>
        </w:tc>
        <w:tc>
          <w:tcPr>
            <w:tcW w:type="dxa" w:w="6009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Dla całego ładunku stosuje się kod odpowiadający największym ograniczeniom spośród kodów przypisanych przewożonym towarom.</w:t>
            </w:r>
          </w:p>
        </w:tc>
        <w:tc>
          <w:tcPr>
            <w:tcW w:type="dxa" w:w="2721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ADR 2025, 8.6.3.2.</w:t>
            </w:r>
          </w:p>
        </w:tc>
      </w:tr>
    </w:tbl>
    <w:p>
      <w:pPr>
        <w:spacing w:before="200" w:after="60"/>
      </w:pPr>
      <w:r>
        <w:rPr>
          <w:rFonts w:ascii="Arial" w:hAnsi="Arial" w:eastAsia="Arial"/>
          <w:b/>
          <w:i w:val="0"/>
          <w:sz w:val="22"/>
        </w:rPr>
        <w:t>PODSTAWA PRAWNA I ŹRÓDŁA</w:t>
      </w:r>
    </w:p>
    <w:p>
      <w:pPr>
        <w:spacing w:after="40"/>
        <w:ind w:left="283" w:hanging="170"/>
      </w:pPr>
      <w:r>
        <w:rPr>
          <w:rFonts w:ascii="Arial" w:hAnsi="Arial" w:eastAsia="Arial"/>
          <w:sz w:val="18"/>
        </w:rPr>
        <w:t>• ADR 2025 - Umowa dotycząca międzynarodowego przewozu drogowego towarów niebezpiecznych, ogłoszona w Dz.U. z 2025 r. poz. 642.</w:t>
      </w:r>
    </w:p>
    <w:p>
      <w:pPr>
        <w:spacing w:after="40"/>
        <w:ind w:left="283" w:hanging="170"/>
      </w:pPr>
      <w:r>
        <w:rPr>
          <w:rFonts w:ascii="Arial" w:hAnsi="Arial" w:eastAsia="Arial"/>
          <w:sz w:val="18"/>
        </w:rPr>
        <w:t>• Obwieszczenie Ministra Spraw Zagranicznych z dnia 13 listopada 2025 r. o sprostowaniu błędów, Dz.U. z 2025 r. poz. 1575, oraz rozporządzenie Ministra Infrastruktury z dnia 26 czerwca 2024 r. w sprawie egzaminów dla kierowców przewożących towary niebezpieczne, Dz.U. z 2024 r. poz. 964.</w:t>
      </w:r>
    </w:p>
    <w:p>
      <w:pPr>
        <w:spacing w:after="40"/>
        <w:ind w:left="283" w:hanging="170"/>
      </w:pPr>
      <w:r>
        <w:rPr>
          <w:rFonts w:ascii="Arial" w:hAnsi="Arial" w:eastAsia="Arial"/>
          <w:sz w:val="18"/>
        </w:rPr>
        <w:t>• Zakres zestawu odpowiada programowi kursu ADR podstawowego: przepisy i definicje, szkolenie osób, wyłączenia, zagrożenia i klasyfikacja, ochrona środowiska, obowiązki uczestników przewozu, oznakowanie, dokumentacja, wyposażenie, załadunek i rozładunek, zachowanie załogi oraz ograniczenia tunelowe.</w:t>
      </w:r>
    </w:p>
    <w:p>
      <w:pPr>
        <w:spacing w:before="100"/>
      </w:pPr>
      <w:r>
        <w:rPr>
          <w:rFonts w:ascii="Arial" w:hAnsi="Arial" w:eastAsia="Arial"/>
          <w:sz w:val="18"/>
        </w:rPr>
        <w:t>Skrócony klucz:</w:t>
        <w:br/>
        <w:t>1-B   2-C   3-A   4-B   5-C   6-A   7-B   8-C   9-A   10-B   11-C   12-A   13-B   14-C   15-A   16-B   17-C   18-A   19-B   20-C   21-A   22-B   23-C   24-A   25-B   26-C   27-A   28-B   29-C   30-A</w:t>
      </w:r>
    </w:p>
    <w:p>
      <w:pPr>
        <w:spacing w:before="200" w:after="80"/>
        <w:jc w:val="center"/>
        <w:pageBreakBefore/>
      </w:pPr>
      <w:r>
        <w:rPr>
          <w:rFonts w:ascii="Arial" w:hAnsi="Arial" w:eastAsia="Arial"/>
          <w:b/>
          <w:sz w:val="22"/>
        </w:rPr>
        <w:t>MAPA ZGODNOŚCI Z PROGRAMEM KURSU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937"/>
        <w:gridCol w:w="2268"/>
      </w:tblGrid>
      <w:tr>
        <w:tc>
          <w:tcPr>
            <w:tcW w:type="dxa" w:w="5213"/>
            <w:shd w:fill="404040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Zagadnienie programu</w:t>
            </w:r>
          </w:p>
        </w:tc>
        <w:tc>
          <w:tcPr>
            <w:tcW w:type="dxa" w:w="5213"/>
            <w:shd w:fill="404040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Numery pytań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Wymagania ogólne, przepisy i definicje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1-3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Szkolenie osób zaangażowanych w przewóz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4-8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Ochrona środowiska i postępowanie po zdarzeniu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9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Ochrona towarów niebezpiecznych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8, 10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Klasyfikacja i główne rodzaje zagrożeń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11-13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Wyłączenia spod stosowania ADR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14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Obowiązki uczestników przewozu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15-18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Oznakowanie i duże nalepki ostrzegawcze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19, 20, 22, 23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Dokumentacja przewozowa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24-25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Wyposażenie ochronne i awaryjne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21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Załadunek, ładowanie razem i ochrona żywności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26-28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Zachowanie załogi podczas manipulowania ładunkiem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29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Przewóz kombinowany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7</w:t>
            </w:r>
          </w:p>
        </w:tc>
      </w:tr>
      <w:tr>
        <w:tc>
          <w:tcPr>
            <w:tcW w:type="dxa" w:w="7937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 w:val="0"/>
                <w:sz w:val="16"/>
              </w:rPr>
              <w:t>Ograniczenia przejazdu przez tunele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sz w:val="16"/>
              </w:rPr>
              <w:t>30</w:t>
            </w:r>
          </w:p>
        </w:tc>
      </w:tr>
    </w:tbl>
    <w:p>
      <w:pPr>
        <w:spacing w:before="160" w:after="60"/>
        <w:jc w:val="both"/>
      </w:pPr>
      <w:r>
        <w:rPr>
          <w:rFonts w:ascii="Arial" w:hAnsi="Arial" w:eastAsia="Arial"/>
          <w:b/>
          <w:sz w:val="17"/>
        </w:rPr>
        <w:t>Informacja o weryfikacji: każde pytanie, warianty odpowiedzi, prawidłowa odpowiedź i uzasadnienie zostały porównane z przywołanym przepisem ADR. Sprawdzono również zakres sprostowania ogłoszonego w Dz.U. z 2025 r. poz. 1575; nie zmienia ono przepisów stanowiących podstawę pytań w tym zestawie.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sz w:val="16"/>
      </w:rPr>
      <w:t>Klucz odpowiedzi ADR - kurs podstawowy - zestaw 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95959"/>
        <w:sz w:val="16"/>
      </w:rPr>
      <w:t>Ośrodek Szkolenia Zawodowego DOBRY KURS Sylwia Kaczmarek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